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6B" w:rsidRDefault="0068618A">
      <w:pPr>
        <w:keepNext/>
        <w:keepLines/>
        <w:spacing w:line="560" w:lineRule="atLeast"/>
        <w:rPr>
          <w:rFonts w:ascii="黑体" w:eastAsia="黑体" w:hAnsi="黑体"/>
          <w:sz w:val="32"/>
          <w:szCs w:val="32"/>
        </w:rPr>
      </w:pPr>
      <w:r>
        <w:rPr>
          <w:rFonts w:ascii="黑体" w:eastAsia="黑体" w:hAnsi="黑体" w:cs="黑体" w:hint="eastAsia"/>
          <w:sz w:val="32"/>
          <w:szCs w:val="32"/>
        </w:rPr>
        <w:t>附件1</w:t>
      </w:r>
    </w:p>
    <w:p w:rsidR="00DC38F8" w:rsidRDefault="0068618A" w:rsidP="00DC38F8">
      <w:pPr>
        <w:spacing w:beforeLines="100" w:before="312" w:line="600" w:lineRule="exact"/>
        <w:jc w:val="center"/>
        <w:rPr>
          <w:rFonts w:ascii="方正小标宋简体" w:eastAsia="方正小标宋简体" w:hAnsi="方正小标宋简体" w:hint="eastAsia"/>
          <w:sz w:val="44"/>
          <w:szCs w:val="44"/>
        </w:rPr>
      </w:pPr>
      <w:bookmarkStart w:id="0" w:name="_Toc12445"/>
      <w:bookmarkStart w:id="1" w:name="_Toc27281"/>
      <w:r>
        <w:rPr>
          <w:rFonts w:ascii="方正小标宋简体" w:eastAsia="方正小标宋简体" w:hAnsi="方正小标宋简体" w:hint="eastAsia"/>
          <w:sz w:val="44"/>
          <w:szCs w:val="44"/>
        </w:rPr>
        <w:t>知识产权侵权损害评估等三项专家指引</w:t>
      </w:r>
    </w:p>
    <w:p w:rsidR="0028646B" w:rsidRDefault="0068618A" w:rsidP="0024287A">
      <w:pPr>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征求意见稿</w:t>
      </w:r>
      <w:bookmarkStart w:id="2" w:name="_Toc5154"/>
      <w:bookmarkStart w:id="3" w:name="_Toc18047"/>
      <w:bookmarkEnd w:id="0"/>
      <w:bookmarkEnd w:id="1"/>
      <w:r w:rsidR="00DC38F8">
        <w:rPr>
          <w:rFonts w:ascii="方正小标宋简体" w:eastAsia="方正小标宋简体" w:hAnsi="方正小标宋简体" w:hint="eastAsia"/>
          <w:sz w:val="44"/>
          <w:szCs w:val="44"/>
        </w:rPr>
        <w:t>及起草说明</w:t>
      </w:r>
    </w:p>
    <w:p w:rsidR="0024287A" w:rsidRDefault="0024287A" w:rsidP="0024287A">
      <w:pPr>
        <w:spacing w:line="600" w:lineRule="exact"/>
        <w:jc w:val="center"/>
        <w:rPr>
          <w:rFonts w:ascii="方正小标宋简体" w:eastAsia="方正小标宋简体" w:hAnsi="方正小标宋简体" w:hint="eastAsia"/>
          <w:sz w:val="44"/>
          <w:szCs w:val="44"/>
        </w:rPr>
      </w:pPr>
    </w:p>
    <w:p w:rsidR="0028646B" w:rsidRDefault="0068618A" w:rsidP="0024287A">
      <w:pPr>
        <w:spacing w:line="600" w:lineRule="exact"/>
        <w:jc w:val="center"/>
        <w:rPr>
          <w:rFonts w:ascii="方正小标宋简体" w:eastAsia="方正小标宋简体" w:hAnsi="方正小标宋简体" w:hint="eastAsia"/>
          <w:sz w:val="44"/>
          <w:szCs w:val="44"/>
        </w:rPr>
      </w:pPr>
      <w:r>
        <w:rPr>
          <w:rFonts w:ascii="方正小标宋简体" w:eastAsia="方正小标宋简体" w:hAnsi="方正小标宋简体" w:hint="eastAsia"/>
          <w:sz w:val="44"/>
          <w:szCs w:val="44"/>
        </w:rPr>
        <w:t>目录</w:t>
      </w:r>
      <w:bookmarkEnd w:id="2"/>
      <w:bookmarkEnd w:id="3"/>
    </w:p>
    <w:p w:rsidR="0024287A" w:rsidRPr="0024287A" w:rsidRDefault="0024287A" w:rsidP="0024287A">
      <w:pPr>
        <w:pStyle w:val="a0"/>
      </w:pPr>
    </w:p>
    <w:p w:rsidR="0028646B" w:rsidRPr="00DC38F8" w:rsidRDefault="0068618A">
      <w:pPr>
        <w:pStyle w:val="10"/>
        <w:tabs>
          <w:tab w:val="right" w:leader="dot" w:pos="8844"/>
        </w:tabs>
        <w:rPr>
          <w:rFonts w:ascii="方正小标宋简体" w:eastAsia="方正小标宋简体" w:hAnsi="楷体" w:cs="楷体" w:hint="eastAsia"/>
          <w:sz w:val="32"/>
          <w:szCs w:val="32"/>
        </w:rPr>
      </w:pPr>
      <w:r>
        <w:rPr>
          <w:rFonts w:ascii="方正小标宋简体" w:eastAsia="方正小标宋简体" w:hAnsi="楷体" w:cs="楷体" w:hint="eastAsia"/>
          <w:sz w:val="32"/>
          <w:szCs w:val="32"/>
        </w:rPr>
        <w:fldChar w:fldCharType="begin"/>
      </w:r>
      <w:r>
        <w:rPr>
          <w:rFonts w:ascii="方正小标宋简体" w:eastAsia="方正小标宋简体" w:hAnsi="楷体" w:cs="楷体" w:hint="eastAsia"/>
          <w:sz w:val="32"/>
          <w:szCs w:val="32"/>
        </w:rPr>
        <w:instrText xml:space="preserve">TOC \o "1-1" \h \u </w:instrText>
      </w:r>
      <w:r>
        <w:rPr>
          <w:rFonts w:ascii="方正小标宋简体" w:eastAsia="方正小标宋简体" w:hAnsi="楷体" w:cs="楷体" w:hint="eastAsia"/>
          <w:sz w:val="32"/>
          <w:szCs w:val="32"/>
        </w:rPr>
        <w:fldChar w:fldCharType="separate"/>
      </w:r>
      <w:hyperlink w:anchor="_Toc30006" w:history="1">
        <w:r w:rsidRPr="00DC38F8">
          <w:rPr>
            <w:rFonts w:ascii="方正小标宋简体" w:eastAsia="方正小标宋简体" w:hAnsi="楷体" w:cs="楷体" w:hint="eastAsia"/>
            <w:sz w:val="32"/>
            <w:szCs w:val="32"/>
          </w:rPr>
          <w:t>资产评估专家指引第</w:t>
        </w:r>
        <w:r w:rsidRPr="00DC38F8">
          <w:rPr>
            <w:rFonts w:ascii="方正小标宋简体" w:eastAsia="方正小标宋简体" w:hAnsi="方正小标宋简体" w:cs="Arial" w:hint="eastAsia"/>
            <w:sz w:val="32"/>
            <w:szCs w:val="32"/>
          </w:rPr>
          <w:t>XX</w:t>
        </w:r>
        <w:r w:rsidRPr="00DC38F8">
          <w:rPr>
            <w:rFonts w:ascii="方正小标宋简体" w:eastAsia="方正小标宋简体" w:hAnsi="楷体" w:cs="楷体" w:hint="eastAsia"/>
            <w:sz w:val="32"/>
            <w:szCs w:val="32"/>
          </w:rPr>
          <w:t>号——</w:t>
        </w:r>
        <w:bookmarkStart w:id="4" w:name="_Hlk104991955"/>
        <w:r w:rsidRPr="00DC38F8">
          <w:rPr>
            <w:rFonts w:ascii="方正小标宋简体" w:eastAsia="方正小标宋简体" w:hAnsi="楷体" w:cs="楷体" w:hint="eastAsia"/>
            <w:sz w:val="32"/>
            <w:szCs w:val="32"/>
          </w:rPr>
          <w:t>知识产权侵权损害评估</w:t>
        </w:r>
        <w:bookmarkEnd w:id="4"/>
        <w:r w:rsidRPr="00DC38F8">
          <w:rPr>
            <w:rFonts w:ascii="方正小标宋简体" w:eastAsia="方正小标宋简体" w:hAnsi="楷体" w:cs="楷体" w:hint="eastAsia"/>
            <w:sz w:val="32"/>
            <w:szCs w:val="32"/>
          </w:rPr>
          <w:t>（征求意见稿）</w:t>
        </w:r>
        <w:r w:rsidR="00DC38F8" w:rsidRPr="00DC38F8">
          <w:rPr>
            <w:rFonts w:ascii="方正小标宋简体" w:eastAsia="方正小标宋简体" w:hAnsi="楷体" w:cs="楷体" w:hint="eastAsia"/>
            <w:sz w:val="32"/>
            <w:szCs w:val="32"/>
          </w:rPr>
          <w:t>及起草说明</w:t>
        </w:r>
        <w:r w:rsidRPr="00DC38F8">
          <w:rPr>
            <w:rFonts w:ascii="方正小标宋简体" w:eastAsia="方正小标宋简体" w:hAnsi="楷体" w:cs="楷体" w:hint="eastAsia"/>
            <w:sz w:val="32"/>
            <w:szCs w:val="32"/>
          </w:rPr>
          <w:tab/>
        </w:r>
        <w:r w:rsidRPr="00DC38F8">
          <w:rPr>
            <w:rFonts w:ascii="方正小标宋简体" w:eastAsia="方正小标宋简体" w:hAnsi="楷体" w:cs="楷体" w:hint="eastAsia"/>
            <w:sz w:val="32"/>
            <w:szCs w:val="32"/>
          </w:rPr>
          <w:fldChar w:fldCharType="begin"/>
        </w:r>
        <w:r w:rsidRPr="00DC38F8">
          <w:rPr>
            <w:rFonts w:ascii="方正小标宋简体" w:eastAsia="方正小标宋简体" w:hAnsi="楷体" w:cs="楷体" w:hint="eastAsia"/>
            <w:sz w:val="32"/>
            <w:szCs w:val="32"/>
          </w:rPr>
          <w:instrText xml:space="preserve"> PAGEREF _Toc30006 \h </w:instrText>
        </w:r>
        <w:r w:rsidRPr="00DC38F8">
          <w:rPr>
            <w:rFonts w:ascii="方正小标宋简体" w:eastAsia="方正小标宋简体" w:hAnsi="楷体" w:cs="楷体" w:hint="eastAsia"/>
            <w:sz w:val="32"/>
            <w:szCs w:val="32"/>
          </w:rPr>
        </w:r>
        <w:r w:rsidRPr="00DC38F8">
          <w:rPr>
            <w:rFonts w:ascii="方正小标宋简体" w:eastAsia="方正小标宋简体" w:hAnsi="楷体" w:cs="楷体" w:hint="eastAsia"/>
            <w:sz w:val="32"/>
            <w:szCs w:val="32"/>
          </w:rPr>
          <w:fldChar w:fldCharType="separate"/>
        </w:r>
        <w:r w:rsidR="00D87AF6">
          <w:rPr>
            <w:rFonts w:ascii="方正小标宋简体" w:eastAsia="方正小标宋简体" w:hAnsi="楷体" w:cs="楷体"/>
            <w:noProof/>
            <w:sz w:val="32"/>
            <w:szCs w:val="32"/>
          </w:rPr>
          <w:t>4</w:t>
        </w:r>
        <w:r w:rsidRPr="00DC38F8">
          <w:rPr>
            <w:rFonts w:ascii="方正小标宋简体" w:eastAsia="方正小标宋简体" w:hAnsi="楷体" w:cs="楷体" w:hint="eastAsia"/>
            <w:sz w:val="32"/>
            <w:szCs w:val="32"/>
          </w:rPr>
          <w:fldChar w:fldCharType="end"/>
        </w:r>
      </w:hyperlink>
    </w:p>
    <w:p w:rsidR="0028646B" w:rsidRPr="00DC38F8" w:rsidRDefault="00DC38F8">
      <w:pPr>
        <w:pStyle w:val="10"/>
        <w:tabs>
          <w:tab w:val="right" w:leader="dot" w:pos="8844"/>
        </w:tabs>
        <w:rPr>
          <w:rFonts w:ascii="方正小标宋简体" w:eastAsia="方正小标宋简体" w:hAnsi="楷体" w:cs="楷体" w:hint="eastAsia"/>
          <w:sz w:val="32"/>
          <w:szCs w:val="32"/>
        </w:rPr>
      </w:pPr>
      <w:hyperlink w:anchor="_Toc21874" w:history="1">
        <w:r w:rsidR="0068618A" w:rsidRPr="00DC38F8">
          <w:rPr>
            <w:rFonts w:ascii="方正小标宋简体" w:eastAsia="方正小标宋简体" w:hAnsi="楷体" w:cs="楷体" w:hint="eastAsia"/>
            <w:sz w:val="32"/>
            <w:szCs w:val="32"/>
          </w:rPr>
          <w:t>资产评估专家指引第</w:t>
        </w:r>
        <w:r w:rsidR="0068618A" w:rsidRPr="00DC38F8">
          <w:rPr>
            <w:rFonts w:ascii="方正小标宋简体" w:eastAsia="方正小标宋简体" w:hAnsi="方正小标宋简体" w:cs="Arial" w:hint="eastAsia"/>
            <w:sz w:val="32"/>
            <w:szCs w:val="32"/>
          </w:rPr>
          <w:t>XX</w:t>
        </w:r>
        <w:r w:rsidR="0068618A" w:rsidRPr="00DC38F8">
          <w:rPr>
            <w:rFonts w:ascii="方正小标宋简体" w:eastAsia="方正小标宋简体" w:hAnsi="楷体" w:cs="楷体" w:hint="eastAsia"/>
            <w:sz w:val="32"/>
            <w:szCs w:val="32"/>
          </w:rPr>
          <w:t>号——计算机软件著作权评估（征求意见稿）</w:t>
        </w:r>
        <w:r w:rsidRPr="00DC38F8">
          <w:rPr>
            <w:rFonts w:ascii="方正小标宋简体" w:eastAsia="方正小标宋简体" w:hAnsi="楷体" w:cs="楷体" w:hint="eastAsia"/>
            <w:sz w:val="32"/>
            <w:szCs w:val="32"/>
          </w:rPr>
          <w:t>及起草说明</w:t>
        </w:r>
        <w:r w:rsidR="0068618A" w:rsidRPr="00DC38F8">
          <w:rPr>
            <w:rFonts w:ascii="方正小标宋简体" w:eastAsia="方正小标宋简体" w:hAnsi="楷体" w:cs="楷体" w:hint="eastAsia"/>
            <w:sz w:val="32"/>
            <w:szCs w:val="32"/>
          </w:rPr>
          <w:tab/>
        </w:r>
        <w:r w:rsidR="0068618A" w:rsidRPr="00DC38F8">
          <w:rPr>
            <w:rFonts w:ascii="方正小标宋简体" w:eastAsia="方正小标宋简体" w:hAnsi="楷体" w:cs="楷体" w:hint="eastAsia"/>
            <w:sz w:val="32"/>
            <w:szCs w:val="32"/>
          </w:rPr>
          <w:fldChar w:fldCharType="begin"/>
        </w:r>
        <w:r w:rsidR="0068618A" w:rsidRPr="00DC38F8">
          <w:rPr>
            <w:rFonts w:ascii="方正小标宋简体" w:eastAsia="方正小标宋简体" w:hAnsi="楷体" w:cs="楷体" w:hint="eastAsia"/>
            <w:sz w:val="32"/>
            <w:szCs w:val="32"/>
          </w:rPr>
          <w:instrText xml:space="preserve"> PAGEREF _Toc21874 \h </w:instrText>
        </w:r>
        <w:r w:rsidR="0068618A" w:rsidRPr="00DC38F8">
          <w:rPr>
            <w:rFonts w:ascii="方正小标宋简体" w:eastAsia="方正小标宋简体" w:hAnsi="楷体" w:cs="楷体" w:hint="eastAsia"/>
            <w:sz w:val="32"/>
            <w:szCs w:val="32"/>
          </w:rPr>
        </w:r>
        <w:r w:rsidR="0068618A" w:rsidRPr="00DC38F8">
          <w:rPr>
            <w:rFonts w:ascii="方正小标宋简体" w:eastAsia="方正小标宋简体" w:hAnsi="楷体" w:cs="楷体" w:hint="eastAsia"/>
            <w:sz w:val="32"/>
            <w:szCs w:val="32"/>
          </w:rPr>
          <w:fldChar w:fldCharType="separate"/>
        </w:r>
        <w:r w:rsidR="00D87AF6">
          <w:rPr>
            <w:rFonts w:ascii="方正小标宋简体" w:eastAsia="方正小标宋简体" w:hAnsi="楷体" w:cs="楷体"/>
            <w:noProof/>
            <w:sz w:val="32"/>
            <w:szCs w:val="32"/>
          </w:rPr>
          <w:t>18</w:t>
        </w:r>
        <w:r w:rsidR="0068618A" w:rsidRPr="00DC38F8">
          <w:rPr>
            <w:rFonts w:ascii="方正小标宋简体" w:eastAsia="方正小标宋简体" w:hAnsi="楷体" w:cs="楷体" w:hint="eastAsia"/>
            <w:sz w:val="32"/>
            <w:szCs w:val="32"/>
          </w:rPr>
          <w:fldChar w:fldCharType="end"/>
        </w:r>
      </w:hyperlink>
    </w:p>
    <w:p w:rsidR="0028646B" w:rsidRDefault="00DC38F8">
      <w:pPr>
        <w:pStyle w:val="10"/>
        <w:tabs>
          <w:tab w:val="right" w:leader="dot" w:pos="8844"/>
        </w:tabs>
        <w:rPr>
          <w:rFonts w:ascii="方正小标宋简体" w:eastAsia="方正小标宋简体" w:hAnsi="楷体" w:cs="楷体"/>
          <w:sz w:val="32"/>
          <w:szCs w:val="32"/>
        </w:rPr>
      </w:pPr>
      <w:hyperlink w:anchor="_Toc21142" w:history="1">
        <w:r w:rsidR="0068618A" w:rsidRPr="00DC38F8">
          <w:rPr>
            <w:rFonts w:ascii="方正小标宋简体" w:eastAsia="方正小标宋简体" w:hAnsi="楷体" w:cs="楷体" w:hint="eastAsia"/>
            <w:sz w:val="32"/>
            <w:szCs w:val="32"/>
          </w:rPr>
          <w:t>资产评估专家指引第</w:t>
        </w:r>
        <w:r w:rsidR="0068618A" w:rsidRPr="00DC38F8">
          <w:rPr>
            <w:rFonts w:ascii="方正小标宋简体" w:eastAsia="方正小标宋简体" w:hAnsi="方正小标宋简体" w:cs="Arial" w:hint="eastAsia"/>
            <w:sz w:val="32"/>
            <w:szCs w:val="32"/>
          </w:rPr>
          <w:t>XX</w:t>
        </w:r>
        <w:r w:rsidR="0068618A" w:rsidRPr="00DC38F8">
          <w:rPr>
            <w:rFonts w:ascii="方正小标宋简体" w:eastAsia="方正小标宋简体" w:hAnsi="楷体" w:cs="楷体" w:hint="eastAsia"/>
            <w:sz w:val="32"/>
            <w:szCs w:val="32"/>
          </w:rPr>
          <w:t>号——碳资产评估（征求意见稿）</w:t>
        </w:r>
        <w:r w:rsidRPr="00DC38F8">
          <w:rPr>
            <w:rFonts w:ascii="方正小标宋简体" w:eastAsia="方正小标宋简体" w:hAnsi="楷体" w:cs="楷体" w:hint="eastAsia"/>
            <w:sz w:val="32"/>
            <w:szCs w:val="32"/>
          </w:rPr>
          <w:t>及起草说明</w:t>
        </w:r>
        <w:r w:rsidR="0068618A" w:rsidRPr="00DC38F8">
          <w:rPr>
            <w:rFonts w:ascii="方正小标宋简体" w:eastAsia="方正小标宋简体" w:hAnsi="楷体" w:cs="楷体" w:hint="eastAsia"/>
            <w:sz w:val="32"/>
            <w:szCs w:val="32"/>
          </w:rPr>
          <w:tab/>
        </w:r>
        <w:r w:rsidR="0068618A" w:rsidRPr="00DC38F8">
          <w:rPr>
            <w:rFonts w:ascii="方正小标宋简体" w:eastAsia="方正小标宋简体" w:hAnsi="楷体" w:cs="楷体" w:hint="eastAsia"/>
            <w:sz w:val="32"/>
            <w:szCs w:val="32"/>
          </w:rPr>
          <w:fldChar w:fldCharType="begin"/>
        </w:r>
        <w:r w:rsidR="0068618A" w:rsidRPr="00DC38F8">
          <w:rPr>
            <w:rFonts w:ascii="方正小标宋简体" w:eastAsia="方正小标宋简体" w:hAnsi="楷体" w:cs="楷体" w:hint="eastAsia"/>
            <w:sz w:val="32"/>
            <w:szCs w:val="32"/>
          </w:rPr>
          <w:instrText xml:space="preserve"> PAGEREF _Toc21142 \h </w:instrText>
        </w:r>
        <w:r w:rsidR="0068618A" w:rsidRPr="00DC38F8">
          <w:rPr>
            <w:rFonts w:ascii="方正小标宋简体" w:eastAsia="方正小标宋简体" w:hAnsi="楷体" w:cs="楷体" w:hint="eastAsia"/>
            <w:sz w:val="32"/>
            <w:szCs w:val="32"/>
          </w:rPr>
        </w:r>
        <w:r w:rsidR="0068618A" w:rsidRPr="00DC38F8">
          <w:rPr>
            <w:rFonts w:ascii="方正小标宋简体" w:eastAsia="方正小标宋简体" w:hAnsi="楷体" w:cs="楷体" w:hint="eastAsia"/>
            <w:sz w:val="32"/>
            <w:szCs w:val="32"/>
          </w:rPr>
          <w:fldChar w:fldCharType="separate"/>
        </w:r>
        <w:r w:rsidR="00D87AF6">
          <w:rPr>
            <w:rFonts w:ascii="方正小标宋简体" w:eastAsia="方正小标宋简体" w:hAnsi="楷体" w:cs="楷体"/>
            <w:noProof/>
            <w:sz w:val="32"/>
            <w:szCs w:val="32"/>
          </w:rPr>
          <w:t>42</w:t>
        </w:r>
        <w:r w:rsidR="0068618A" w:rsidRPr="00DC38F8">
          <w:rPr>
            <w:rFonts w:ascii="方正小标宋简体" w:eastAsia="方正小标宋简体" w:hAnsi="楷体" w:cs="楷体" w:hint="eastAsia"/>
            <w:sz w:val="32"/>
            <w:szCs w:val="32"/>
          </w:rPr>
          <w:fldChar w:fldCharType="end"/>
        </w:r>
      </w:hyperlink>
    </w:p>
    <w:p w:rsidR="0028646B" w:rsidRDefault="0068618A">
      <w:pPr>
        <w:wordWrap w:val="0"/>
        <w:spacing w:line="560" w:lineRule="exact"/>
        <w:rPr>
          <w:rFonts w:ascii="黑体" w:eastAsia="黑体" w:hAnsi="黑体"/>
          <w:sz w:val="32"/>
          <w:szCs w:val="32"/>
        </w:rPr>
      </w:pPr>
      <w:r>
        <w:rPr>
          <w:rFonts w:ascii="方正小标宋简体" w:eastAsia="方正小标宋简体" w:hAnsi="楷体" w:cs="楷体" w:hint="eastAsia"/>
          <w:sz w:val="32"/>
          <w:szCs w:val="32"/>
        </w:rPr>
        <w:fldChar w:fldCharType="end"/>
      </w:r>
    </w:p>
    <w:p w:rsidR="0028646B" w:rsidRDefault="0028646B">
      <w:pPr>
        <w:wordWrap w:val="0"/>
        <w:spacing w:line="560" w:lineRule="exact"/>
        <w:rPr>
          <w:rFonts w:ascii="黑体" w:eastAsia="黑体" w:hAnsi="黑体"/>
          <w:sz w:val="32"/>
          <w:szCs w:val="32"/>
        </w:rPr>
      </w:pPr>
    </w:p>
    <w:p w:rsidR="0028646B" w:rsidRDefault="0028646B">
      <w:pPr>
        <w:wordWrap w:val="0"/>
        <w:spacing w:line="560" w:lineRule="exact"/>
        <w:rPr>
          <w:rFonts w:ascii="黑体" w:eastAsia="黑体" w:hAnsi="黑体"/>
          <w:sz w:val="32"/>
          <w:szCs w:val="32"/>
        </w:rPr>
      </w:pPr>
    </w:p>
    <w:p w:rsidR="0028646B" w:rsidRDefault="0028646B">
      <w:pPr>
        <w:wordWrap w:val="0"/>
        <w:spacing w:line="560" w:lineRule="exact"/>
        <w:rPr>
          <w:rFonts w:ascii="黑体" w:eastAsia="黑体" w:hAnsi="黑体"/>
          <w:sz w:val="32"/>
          <w:szCs w:val="32"/>
        </w:rPr>
        <w:sectPr w:rsidR="0028646B" w:rsidSect="0024287A">
          <w:headerReference w:type="default" r:id="rId9"/>
          <w:footerReference w:type="even" r:id="rId10"/>
          <w:footerReference w:type="default" r:id="rId11"/>
          <w:pgSz w:w="11906" w:h="16838" w:code="9"/>
          <w:pgMar w:top="2098" w:right="1531" w:bottom="1985" w:left="1531" w:header="851" w:footer="1644" w:gutter="0"/>
          <w:pgNumType w:start="3"/>
          <w:cols w:space="425"/>
          <w:docGrid w:type="lines" w:linePitch="312"/>
        </w:sectPr>
      </w:pPr>
    </w:p>
    <w:p w:rsidR="0028646B" w:rsidRDefault="0068618A">
      <w:pPr>
        <w:spacing w:line="700" w:lineRule="exact"/>
        <w:jc w:val="center"/>
        <w:outlineLvl w:val="0"/>
        <w:rPr>
          <w:rFonts w:ascii="方正小标宋简体" w:eastAsia="方正小标宋简体" w:hAnsi="方正小标宋简体" w:cs="Arial"/>
          <w:sz w:val="44"/>
          <w:szCs w:val="44"/>
        </w:rPr>
      </w:pPr>
      <w:bookmarkStart w:id="5" w:name="_Toc19172"/>
      <w:bookmarkStart w:id="6" w:name="_Toc5057"/>
      <w:bookmarkStart w:id="7" w:name="_Toc30006"/>
      <w:r>
        <w:rPr>
          <w:rFonts w:ascii="方正小标宋简体" w:eastAsia="方正小标宋简体" w:hAnsi="方正小标宋简体" w:cs="Arial"/>
          <w:sz w:val="44"/>
          <w:szCs w:val="44"/>
        </w:rPr>
        <w:lastRenderedPageBreak/>
        <w:t>资产评估专家指引第</w:t>
      </w:r>
      <w:r>
        <w:rPr>
          <w:rFonts w:ascii="方正小标宋简体" w:eastAsia="方正小标宋简体" w:hAnsi="方正小标宋简体" w:cs="Arial" w:hint="eastAsia"/>
          <w:sz w:val="44"/>
          <w:szCs w:val="44"/>
        </w:rPr>
        <w:t>XX</w:t>
      </w:r>
      <w:r>
        <w:rPr>
          <w:rFonts w:ascii="方正小标宋简体" w:eastAsia="方正小标宋简体" w:hAnsi="方正小标宋简体" w:cs="Arial"/>
          <w:sz w:val="44"/>
          <w:szCs w:val="44"/>
        </w:rPr>
        <w:t>号</w:t>
      </w:r>
      <w:bookmarkStart w:id="8" w:name="_Toc7473"/>
      <w:bookmarkStart w:id="9" w:name="_Toc28964"/>
      <w:bookmarkStart w:id="10" w:name="_Toc15798"/>
      <w:bookmarkEnd w:id="5"/>
      <w:bookmarkEnd w:id="6"/>
      <w:bookmarkEnd w:id="7"/>
      <w:r>
        <w:rPr>
          <w:rFonts w:ascii="方正小标宋简体" w:eastAsia="方正小标宋简体" w:hAnsi="方正小标宋简体" w:cs="Arial"/>
          <w:sz w:val="44"/>
          <w:szCs w:val="44"/>
        </w:rPr>
        <w:t>——知识产权</w:t>
      </w:r>
    </w:p>
    <w:p w:rsidR="0028646B" w:rsidRDefault="0068618A">
      <w:pPr>
        <w:spacing w:line="700" w:lineRule="exact"/>
        <w:jc w:val="center"/>
        <w:outlineLvl w:val="0"/>
        <w:rPr>
          <w:rFonts w:ascii="方正小标宋简体" w:eastAsia="方正小标宋简体" w:hAnsi="方正小标宋简体" w:cs="Arial"/>
          <w:sz w:val="44"/>
          <w:szCs w:val="44"/>
        </w:rPr>
      </w:pPr>
      <w:r>
        <w:rPr>
          <w:rFonts w:ascii="方正小标宋简体" w:eastAsia="方正小标宋简体" w:hAnsi="方正小标宋简体" w:cs="Arial"/>
          <w:sz w:val="44"/>
          <w:szCs w:val="44"/>
        </w:rPr>
        <w:t>侵权损害评估</w:t>
      </w:r>
      <w:bookmarkEnd w:id="8"/>
      <w:bookmarkEnd w:id="9"/>
      <w:bookmarkEnd w:id="10"/>
      <w:r>
        <w:rPr>
          <w:rFonts w:ascii="方正小标宋简体" w:eastAsia="方正小标宋简体" w:hAnsi="方正小标宋简体" w:cs="Arial"/>
          <w:sz w:val="44"/>
          <w:szCs w:val="44"/>
        </w:rPr>
        <w:t>（</w:t>
      </w:r>
      <w:r>
        <w:rPr>
          <w:rFonts w:ascii="方正小标宋简体" w:eastAsia="方正小标宋简体" w:hAnsi="方正小标宋简体" w:cs="Arial" w:hint="eastAsia"/>
          <w:sz w:val="44"/>
          <w:szCs w:val="44"/>
        </w:rPr>
        <w:t>征求意见</w:t>
      </w:r>
      <w:r>
        <w:rPr>
          <w:rFonts w:ascii="方正小标宋简体" w:eastAsia="方正小标宋简体" w:hAnsi="方正小标宋简体" w:cs="Arial"/>
          <w:sz w:val="44"/>
          <w:szCs w:val="44"/>
        </w:rPr>
        <w:t>稿）</w:t>
      </w:r>
    </w:p>
    <w:p w:rsidR="0028646B" w:rsidRDefault="0028646B">
      <w:pPr>
        <w:spacing w:line="700" w:lineRule="exact"/>
        <w:jc w:val="center"/>
        <w:rPr>
          <w:rFonts w:ascii="方正小标宋简体" w:eastAsia="方正小标宋简体" w:hAnsi="方正小标宋简体" w:cs="Arial"/>
          <w:sz w:val="44"/>
          <w:szCs w:val="44"/>
        </w:rPr>
      </w:pP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本专家指引是一种专家建议。</w:t>
      </w:r>
      <w:r>
        <w:rPr>
          <w:rFonts w:ascii="Arial" w:eastAsia="仿宋_GB2312" w:hAnsi="Arial" w:cs="Arial" w:hint="eastAsia"/>
          <w:sz w:val="32"/>
          <w:szCs w:val="32"/>
        </w:rPr>
        <w:t>资产</w:t>
      </w:r>
      <w:r>
        <w:rPr>
          <w:rFonts w:ascii="Arial" w:eastAsia="仿宋_GB2312" w:hAnsi="Arial" w:cs="Arial"/>
          <w:sz w:val="32"/>
          <w:szCs w:val="32"/>
        </w:rPr>
        <w:t>评估机构执行</w:t>
      </w:r>
      <w:r>
        <w:rPr>
          <w:rFonts w:ascii="Arial" w:eastAsia="仿宋_GB2312" w:hAnsi="Arial" w:cs="Arial" w:hint="eastAsia"/>
          <w:sz w:val="32"/>
          <w:szCs w:val="32"/>
        </w:rPr>
        <w:t>资产</w:t>
      </w:r>
      <w:r>
        <w:rPr>
          <w:rFonts w:ascii="Arial" w:eastAsia="仿宋_GB2312" w:hAnsi="Arial" w:cs="Arial"/>
          <w:sz w:val="32"/>
          <w:szCs w:val="32"/>
        </w:rPr>
        <w:t>评估业务，可以参照本专家指引。中国资产评估协会将根据业务发展，对本专家指引进行更新。</w:t>
      </w:r>
    </w:p>
    <w:p w:rsidR="0028646B" w:rsidRDefault="0068618A">
      <w:pPr>
        <w:spacing w:beforeLines="100" w:before="579" w:afterLines="100" w:after="579" w:line="578" w:lineRule="exact"/>
        <w:jc w:val="center"/>
        <w:outlineLvl w:val="1"/>
        <w:rPr>
          <w:rFonts w:ascii="Arial" w:eastAsia="黑体" w:hAnsi="Arial" w:cs="Arial"/>
          <w:sz w:val="32"/>
          <w:szCs w:val="32"/>
        </w:rPr>
      </w:pPr>
      <w:r>
        <w:rPr>
          <w:rFonts w:ascii="Arial" w:eastAsia="黑体" w:hAnsi="Arial" w:cs="Arial"/>
          <w:sz w:val="32"/>
          <w:szCs w:val="32"/>
        </w:rPr>
        <w:t>第一章</w:t>
      </w:r>
      <w:r>
        <w:rPr>
          <w:rFonts w:ascii="Arial" w:eastAsia="黑体" w:hAnsi="Arial" w:cs="Arial"/>
          <w:sz w:val="32"/>
          <w:szCs w:val="32"/>
        </w:rPr>
        <w:t xml:space="preserve"> </w:t>
      </w:r>
      <w:r>
        <w:rPr>
          <w:rFonts w:ascii="Arial" w:eastAsia="黑体" w:hAnsi="Arial" w:cs="Arial"/>
          <w:sz w:val="32"/>
          <w:szCs w:val="32"/>
        </w:rPr>
        <w:t>引言</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第一条</w:t>
      </w:r>
      <w:r>
        <w:rPr>
          <w:rFonts w:ascii="Arial" w:eastAsia="仿宋_GB2312" w:hAnsi="Arial" w:cs="Arial"/>
          <w:sz w:val="32"/>
          <w:szCs w:val="32"/>
        </w:rPr>
        <w:t xml:space="preserve">  </w:t>
      </w:r>
      <w:r>
        <w:rPr>
          <w:rFonts w:ascii="Arial" w:eastAsia="仿宋_GB2312" w:hAnsi="Arial" w:cs="Arial"/>
          <w:sz w:val="32"/>
          <w:szCs w:val="32"/>
        </w:rPr>
        <w:t>为指导资产评估</w:t>
      </w:r>
      <w:r>
        <w:rPr>
          <w:rFonts w:ascii="Arial" w:eastAsia="仿宋_GB2312" w:hAnsi="Arial" w:cs="Arial" w:hint="eastAsia"/>
          <w:sz w:val="32"/>
          <w:szCs w:val="32"/>
        </w:rPr>
        <w:t>机构及其资产评估</w:t>
      </w:r>
      <w:r>
        <w:rPr>
          <w:rFonts w:ascii="Arial" w:eastAsia="仿宋_GB2312" w:hAnsi="Arial" w:cs="Arial"/>
          <w:sz w:val="32"/>
          <w:szCs w:val="32"/>
        </w:rPr>
        <w:t>专业人员执行知识产权侵权损害评估业务，中国资产评估协会组织制定</w:t>
      </w:r>
      <w:r>
        <w:rPr>
          <w:rFonts w:ascii="Arial" w:eastAsia="仿宋_GB2312" w:hAnsi="Arial" w:cs="Arial" w:hint="eastAsia"/>
          <w:sz w:val="32"/>
          <w:szCs w:val="32"/>
        </w:rPr>
        <w:t>了</w:t>
      </w:r>
      <w:r>
        <w:rPr>
          <w:rFonts w:ascii="Arial" w:eastAsia="仿宋_GB2312" w:hAnsi="Arial" w:cs="Arial"/>
          <w:sz w:val="32"/>
          <w:szCs w:val="32"/>
        </w:rPr>
        <w:t>本</w:t>
      </w:r>
      <w:r>
        <w:rPr>
          <w:rFonts w:ascii="Arial" w:eastAsia="仿宋_GB2312" w:hAnsi="Arial" w:cs="Arial" w:hint="eastAsia"/>
          <w:sz w:val="32"/>
          <w:szCs w:val="32"/>
        </w:rPr>
        <w:t>专家</w:t>
      </w:r>
      <w:r>
        <w:rPr>
          <w:rFonts w:ascii="Arial" w:eastAsia="仿宋_GB2312" w:hAnsi="Arial" w:cs="Arial"/>
          <w:sz w:val="32"/>
          <w:szCs w:val="32"/>
        </w:rPr>
        <w:t>指引。</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第二条</w:t>
      </w:r>
      <w:r>
        <w:rPr>
          <w:rFonts w:ascii="Arial" w:eastAsia="仿宋_GB2312" w:hAnsi="Arial" w:cs="Arial"/>
          <w:sz w:val="32"/>
          <w:szCs w:val="32"/>
        </w:rPr>
        <w:t xml:space="preserve">  </w:t>
      </w:r>
      <w:r>
        <w:rPr>
          <w:rFonts w:ascii="Arial" w:eastAsia="仿宋_GB2312" w:hAnsi="Arial" w:cs="Arial"/>
          <w:sz w:val="32"/>
          <w:szCs w:val="32"/>
        </w:rPr>
        <w:t>本</w:t>
      </w:r>
      <w:r>
        <w:rPr>
          <w:rFonts w:ascii="Arial" w:eastAsia="仿宋_GB2312" w:hAnsi="Arial" w:cs="Arial" w:hint="eastAsia"/>
          <w:sz w:val="32"/>
          <w:szCs w:val="32"/>
        </w:rPr>
        <w:t>专家</w:t>
      </w:r>
      <w:r>
        <w:rPr>
          <w:rFonts w:ascii="Arial" w:eastAsia="仿宋_GB2312" w:hAnsi="Arial" w:cs="Arial"/>
          <w:sz w:val="32"/>
          <w:szCs w:val="32"/>
        </w:rPr>
        <w:t>指引所称知识产权侵权损害，是指侵权人非法侵害或使用权利人合法拥有的知识产权，对权利人造成的经济利益的损失。</w:t>
      </w:r>
      <w:r>
        <w:rPr>
          <w:rFonts w:ascii="Arial" w:eastAsia="仿宋_GB2312" w:hAnsi="Arial" w:cs="Arial" w:hint="eastAsia"/>
          <w:sz w:val="32"/>
          <w:szCs w:val="32"/>
        </w:rPr>
        <w:t>其中，知识产权</w:t>
      </w:r>
      <w:r>
        <w:rPr>
          <w:rFonts w:ascii="Arial" w:eastAsia="仿宋_GB2312" w:hAnsi="Arial" w:cs="Arial"/>
          <w:sz w:val="32"/>
          <w:szCs w:val="32"/>
        </w:rPr>
        <w:t>包括商标、专利、著作权、商业秘密、地理标志、集成电路布图设计和植物新品种等。</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三</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本</w:t>
      </w:r>
      <w:r>
        <w:rPr>
          <w:rFonts w:ascii="Arial" w:eastAsia="仿宋_GB2312" w:hAnsi="Arial" w:cs="Arial" w:hint="eastAsia"/>
          <w:sz w:val="32"/>
          <w:szCs w:val="32"/>
        </w:rPr>
        <w:t>专家</w:t>
      </w:r>
      <w:r>
        <w:rPr>
          <w:rFonts w:ascii="Arial" w:eastAsia="仿宋_GB2312" w:hAnsi="Arial" w:cs="Arial"/>
          <w:sz w:val="32"/>
          <w:szCs w:val="32"/>
        </w:rPr>
        <w:t>指引所称知识产权侵权损害评估，是指资产评估机构及其资产评估专业人员遵守国家法律法规、参考知识产权相关评估准则，根据法院委托对知识产权侵权损害进行评定、估算，并出具资产评估报告的专业服务行为。</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四</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资产评估机构及</w:t>
      </w:r>
      <w:r>
        <w:rPr>
          <w:rFonts w:ascii="Arial" w:eastAsia="仿宋_GB2312" w:hAnsi="Arial" w:cs="Arial" w:hint="eastAsia"/>
          <w:sz w:val="32"/>
          <w:szCs w:val="32"/>
        </w:rPr>
        <w:t>其</w:t>
      </w:r>
      <w:r>
        <w:rPr>
          <w:rFonts w:ascii="Arial" w:eastAsia="仿宋_GB2312" w:hAnsi="Arial" w:cs="Arial"/>
          <w:sz w:val="32"/>
          <w:szCs w:val="32"/>
        </w:rPr>
        <w:t>资产评估专业人员执行</w:t>
      </w:r>
      <w:r>
        <w:rPr>
          <w:rFonts w:ascii="Arial" w:eastAsia="仿宋_GB2312" w:hAnsi="Arial" w:cs="Arial" w:hint="eastAsia"/>
          <w:sz w:val="32"/>
          <w:szCs w:val="32"/>
        </w:rPr>
        <w:t>非法院</w:t>
      </w:r>
      <w:r>
        <w:rPr>
          <w:rFonts w:ascii="Arial" w:eastAsia="仿宋_GB2312" w:hAnsi="Arial" w:cs="Arial" w:hint="eastAsia"/>
          <w:sz w:val="32"/>
          <w:szCs w:val="32"/>
        </w:rPr>
        <w:lastRenderedPageBreak/>
        <w:t>委托的</w:t>
      </w:r>
      <w:r>
        <w:rPr>
          <w:rFonts w:ascii="Arial" w:eastAsia="仿宋_GB2312" w:hAnsi="Arial" w:cs="Arial"/>
          <w:sz w:val="32"/>
          <w:szCs w:val="32"/>
        </w:rPr>
        <w:t>知识产权侵权损害评估业务，可</w:t>
      </w:r>
      <w:r>
        <w:rPr>
          <w:rFonts w:ascii="Arial" w:eastAsia="仿宋_GB2312" w:hAnsi="Arial" w:cs="Arial" w:hint="eastAsia"/>
          <w:sz w:val="32"/>
          <w:szCs w:val="32"/>
        </w:rPr>
        <w:t>以</w:t>
      </w:r>
      <w:r>
        <w:rPr>
          <w:rFonts w:ascii="Arial" w:eastAsia="仿宋_GB2312" w:hAnsi="Arial" w:cs="Arial"/>
          <w:sz w:val="32"/>
          <w:szCs w:val="32"/>
        </w:rPr>
        <w:t>参照本</w:t>
      </w:r>
      <w:r>
        <w:rPr>
          <w:rFonts w:ascii="Arial" w:eastAsia="仿宋_GB2312" w:hAnsi="Arial" w:cs="Arial" w:hint="eastAsia"/>
          <w:sz w:val="32"/>
          <w:szCs w:val="32"/>
        </w:rPr>
        <w:t>专家</w:t>
      </w:r>
      <w:r>
        <w:rPr>
          <w:rFonts w:ascii="Arial" w:eastAsia="仿宋_GB2312" w:hAnsi="Arial" w:cs="Arial"/>
          <w:sz w:val="32"/>
          <w:szCs w:val="32"/>
        </w:rPr>
        <w:t>指引。</w:t>
      </w:r>
    </w:p>
    <w:p w:rsidR="0028646B" w:rsidRDefault="0068618A">
      <w:pPr>
        <w:spacing w:beforeLines="100" w:before="579" w:afterLines="100" w:after="579" w:line="578" w:lineRule="exact"/>
        <w:jc w:val="center"/>
        <w:outlineLvl w:val="1"/>
        <w:rPr>
          <w:rFonts w:ascii="Arial" w:eastAsia="黑体" w:hAnsi="Arial" w:cs="Arial"/>
          <w:sz w:val="32"/>
          <w:szCs w:val="32"/>
        </w:rPr>
      </w:pPr>
      <w:r>
        <w:rPr>
          <w:rFonts w:ascii="Arial" w:eastAsia="黑体" w:hAnsi="Arial" w:cs="Arial"/>
          <w:sz w:val="32"/>
          <w:szCs w:val="32"/>
        </w:rPr>
        <w:t>第二章</w:t>
      </w:r>
      <w:r>
        <w:rPr>
          <w:rFonts w:ascii="Arial" w:eastAsia="黑体" w:hAnsi="Arial" w:cs="Arial"/>
          <w:sz w:val="32"/>
          <w:szCs w:val="32"/>
        </w:rPr>
        <w:t xml:space="preserve"> </w:t>
      </w:r>
      <w:r>
        <w:rPr>
          <w:rFonts w:ascii="Arial" w:eastAsia="黑体" w:hAnsi="Arial" w:cs="Arial"/>
          <w:sz w:val="32"/>
          <w:szCs w:val="32"/>
        </w:rPr>
        <w:t>基本遵循</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五</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资产评估机构及其资产评估专业人员开展知识产权侵权损害评估业务，应当遵守知识产权相关法律</w:t>
      </w:r>
      <w:r>
        <w:rPr>
          <w:rFonts w:ascii="Arial" w:eastAsia="仿宋_GB2312" w:hAnsi="Arial" w:cs="Arial" w:hint="eastAsia"/>
          <w:sz w:val="32"/>
          <w:szCs w:val="32"/>
        </w:rPr>
        <w:t>、行政</w:t>
      </w:r>
      <w:r>
        <w:rPr>
          <w:rFonts w:ascii="Arial" w:eastAsia="仿宋_GB2312" w:hAnsi="Arial" w:cs="Arial"/>
          <w:sz w:val="32"/>
          <w:szCs w:val="32"/>
        </w:rPr>
        <w:t>法规</w:t>
      </w:r>
      <w:r>
        <w:rPr>
          <w:rFonts w:ascii="Arial" w:eastAsia="仿宋_GB2312" w:hAnsi="Arial" w:cs="Arial" w:hint="eastAsia"/>
          <w:sz w:val="32"/>
          <w:szCs w:val="32"/>
        </w:rPr>
        <w:t>和资产</w:t>
      </w:r>
      <w:r>
        <w:rPr>
          <w:rFonts w:ascii="Arial" w:eastAsia="仿宋_GB2312" w:hAnsi="Arial" w:cs="Arial"/>
          <w:sz w:val="32"/>
          <w:szCs w:val="32"/>
        </w:rPr>
        <w:t>评估准则规定，坚持独立、客观、公正的原则，诚实守信，勤勉尽责，谨慎从业，遵守职业道德规范，自觉维护职业形象，不得从事损害职业形象的活动。</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六</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资产评估机构及其资产评估专业人员开展知识产权侵权损害</w:t>
      </w:r>
      <w:r>
        <w:rPr>
          <w:rFonts w:ascii="Arial" w:eastAsia="仿宋_GB2312" w:hAnsi="Arial" w:cs="Arial" w:hint="eastAsia"/>
          <w:sz w:val="32"/>
          <w:szCs w:val="32"/>
        </w:rPr>
        <w:t>评估</w:t>
      </w:r>
      <w:r>
        <w:rPr>
          <w:rFonts w:ascii="Arial" w:eastAsia="仿宋_GB2312" w:hAnsi="Arial" w:cs="Arial"/>
          <w:sz w:val="32"/>
          <w:szCs w:val="32"/>
        </w:rPr>
        <w:t>业务，应当独立进行分析和估算并形成专业意见，拒绝</w:t>
      </w:r>
      <w:r>
        <w:rPr>
          <w:rFonts w:ascii="Arial" w:eastAsia="仿宋_GB2312" w:hAnsi="Arial" w:cs="Arial" w:hint="eastAsia"/>
          <w:sz w:val="32"/>
          <w:szCs w:val="32"/>
        </w:rPr>
        <w:t>委托人或者</w:t>
      </w:r>
      <w:r>
        <w:rPr>
          <w:rFonts w:ascii="Arial" w:eastAsia="仿宋_GB2312" w:hAnsi="Arial" w:cs="Arial"/>
          <w:sz w:val="32"/>
          <w:szCs w:val="32"/>
        </w:rPr>
        <w:t>相关当事人的干预，不得直接以预先设定的金额作为评估结论。</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七</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执行知识产权侵权损害评估业务，应当具备知识产权侵权损害评估的专业知识和实践经验，能够胜任所执行的知识产权侵权损害评估业务</w:t>
      </w:r>
      <w:r>
        <w:rPr>
          <w:rFonts w:ascii="Arial" w:eastAsia="仿宋_GB2312" w:hAnsi="Arial" w:cs="Arial" w:hint="eastAsia"/>
          <w:sz w:val="32"/>
          <w:szCs w:val="32"/>
        </w:rPr>
        <w:t>。</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hint="eastAsia"/>
          <w:sz w:val="32"/>
          <w:szCs w:val="32"/>
        </w:rPr>
        <w:t>（一）</w:t>
      </w:r>
      <w:r>
        <w:rPr>
          <w:rFonts w:ascii="Arial" w:eastAsia="仿宋_GB2312" w:hAnsi="Arial" w:cs="Arial"/>
          <w:sz w:val="32"/>
          <w:szCs w:val="32"/>
        </w:rPr>
        <w:t>应当关注知识产权侵权损害评估业务的复杂性，</w:t>
      </w:r>
      <w:r>
        <w:rPr>
          <w:rFonts w:ascii="Arial" w:eastAsia="仿宋_GB2312" w:hAnsi="Arial" w:cs="Arial" w:hint="eastAsia"/>
          <w:sz w:val="32"/>
          <w:szCs w:val="32"/>
        </w:rPr>
        <w:t>根据自身的资产评估专业人员配备、专业知识和经验，</w:t>
      </w:r>
      <w:r>
        <w:rPr>
          <w:rFonts w:ascii="Arial" w:eastAsia="仿宋_GB2312" w:hAnsi="Arial" w:cs="Arial"/>
          <w:sz w:val="32"/>
          <w:szCs w:val="32"/>
        </w:rPr>
        <w:t>审慎考虑是否</w:t>
      </w:r>
      <w:r>
        <w:rPr>
          <w:rFonts w:ascii="Arial" w:eastAsia="仿宋_GB2312" w:hAnsi="Arial" w:cs="Arial" w:hint="eastAsia"/>
          <w:sz w:val="32"/>
          <w:szCs w:val="32"/>
        </w:rPr>
        <w:t>有能力受理知识产权侵权损害评估业务</w:t>
      </w:r>
      <w:r>
        <w:rPr>
          <w:rFonts w:ascii="Arial" w:eastAsia="仿宋_GB2312" w:hAnsi="Arial" w:cs="Arial"/>
          <w:sz w:val="32"/>
          <w:szCs w:val="32"/>
        </w:rPr>
        <w:t>。</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hint="eastAsia"/>
          <w:sz w:val="32"/>
          <w:szCs w:val="32"/>
        </w:rPr>
        <w:t>（二）执行某项特定业务缺乏特定的专业知识和实践经验时，应当采取弥补措施，包括利用专家工作及相关报告等。</w:t>
      </w:r>
    </w:p>
    <w:p w:rsidR="0028646B" w:rsidRDefault="0068618A">
      <w:pPr>
        <w:spacing w:beforeLines="100" w:before="579" w:afterLines="100" w:after="579" w:line="578" w:lineRule="exact"/>
        <w:jc w:val="center"/>
        <w:outlineLvl w:val="1"/>
        <w:rPr>
          <w:rFonts w:ascii="Arial" w:eastAsia="黑体" w:hAnsi="Arial" w:cs="Arial"/>
          <w:sz w:val="32"/>
          <w:szCs w:val="32"/>
        </w:rPr>
      </w:pPr>
      <w:r>
        <w:rPr>
          <w:rFonts w:ascii="Arial" w:eastAsia="黑体" w:hAnsi="Arial" w:cs="Arial"/>
          <w:sz w:val="32"/>
          <w:szCs w:val="32"/>
        </w:rPr>
        <w:lastRenderedPageBreak/>
        <w:t>第三章</w:t>
      </w:r>
      <w:r>
        <w:rPr>
          <w:rFonts w:ascii="Arial" w:eastAsia="黑体" w:hAnsi="Arial" w:cs="Arial"/>
          <w:sz w:val="32"/>
          <w:szCs w:val="32"/>
        </w:rPr>
        <w:t xml:space="preserve"> </w:t>
      </w:r>
      <w:r>
        <w:rPr>
          <w:rFonts w:ascii="Arial" w:eastAsia="黑体" w:hAnsi="Arial" w:cs="Arial"/>
          <w:sz w:val="32"/>
          <w:szCs w:val="32"/>
        </w:rPr>
        <w:t>操作要求</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八</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执行知识产权侵权损害评估业务，</w:t>
      </w:r>
      <w:r>
        <w:rPr>
          <w:rFonts w:ascii="Arial" w:eastAsia="仿宋_GB2312" w:hAnsi="Arial" w:cs="Arial" w:hint="eastAsia"/>
          <w:sz w:val="32"/>
          <w:szCs w:val="32"/>
        </w:rPr>
        <w:t>需要</w:t>
      </w:r>
      <w:r>
        <w:rPr>
          <w:rFonts w:ascii="Arial" w:eastAsia="仿宋_GB2312" w:hAnsi="Arial" w:cs="Arial"/>
          <w:sz w:val="32"/>
          <w:szCs w:val="32"/>
        </w:rPr>
        <w:t>明确评估目的</w:t>
      </w:r>
      <w:r>
        <w:rPr>
          <w:rFonts w:ascii="Arial" w:eastAsia="仿宋_GB2312" w:hAnsi="Arial" w:cs="Arial" w:hint="eastAsia"/>
          <w:sz w:val="32"/>
          <w:szCs w:val="32"/>
        </w:rPr>
        <w:t>、评估对象、</w:t>
      </w:r>
      <w:r>
        <w:rPr>
          <w:rFonts w:ascii="Arial" w:eastAsia="仿宋_GB2312" w:hAnsi="Arial" w:cs="Arial"/>
          <w:sz w:val="32"/>
          <w:szCs w:val="32"/>
        </w:rPr>
        <w:t>损害行为、损害期间、损害范围、评估方法等</w:t>
      </w:r>
      <w:r>
        <w:rPr>
          <w:rFonts w:ascii="Arial" w:eastAsia="仿宋_GB2312" w:hAnsi="Arial" w:cs="Arial" w:hint="eastAsia"/>
          <w:sz w:val="32"/>
          <w:szCs w:val="32"/>
        </w:rPr>
        <w:t>评估基本事项</w:t>
      </w:r>
      <w:r>
        <w:rPr>
          <w:rFonts w:ascii="Arial" w:eastAsia="仿宋_GB2312" w:hAnsi="Arial" w:cs="Arial"/>
          <w:sz w:val="32"/>
          <w:szCs w:val="32"/>
        </w:rPr>
        <w:t>。</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九</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知识产权侵权损害</w:t>
      </w:r>
      <w:r>
        <w:rPr>
          <w:rFonts w:ascii="Arial" w:eastAsia="仿宋_GB2312" w:hAnsi="Arial" w:cs="Arial" w:hint="eastAsia"/>
          <w:sz w:val="32"/>
          <w:szCs w:val="32"/>
        </w:rPr>
        <w:t>的评估目的</w:t>
      </w:r>
      <w:r>
        <w:rPr>
          <w:rFonts w:ascii="Arial" w:eastAsia="仿宋_GB2312" w:hAnsi="Arial" w:cs="Arial"/>
          <w:sz w:val="32"/>
          <w:szCs w:val="32"/>
        </w:rPr>
        <w:t>是确定权利人在遭受侵权后所损失的经济利益，为法院</w:t>
      </w:r>
      <w:r>
        <w:rPr>
          <w:rFonts w:ascii="Arial" w:eastAsia="仿宋_GB2312" w:hAnsi="Arial" w:cs="Arial" w:hint="eastAsia"/>
          <w:sz w:val="32"/>
          <w:szCs w:val="32"/>
        </w:rPr>
        <w:t>判决</w:t>
      </w:r>
      <w:r>
        <w:rPr>
          <w:rFonts w:ascii="Arial" w:eastAsia="仿宋_GB2312" w:hAnsi="Arial" w:cs="Arial"/>
          <w:sz w:val="32"/>
          <w:szCs w:val="32"/>
        </w:rPr>
        <w:t>提供</w:t>
      </w:r>
      <w:r>
        <w:rPr>
          <w:rFonts w:ascii="Arial" w:eastAsia="仿宋_GB2312" w:hAnsi="Arial" w:cs="Arial" w:hint="eastAsia"/>
          <w:sz w:val="32"/>
          <w:szCs w:val="32"/>
        </w:rPr>
        <w:t>参考</w:t>
      </w:r>
      <w:r>
        <w:rPr>
          <w:rFonts w:ascii="Arial" w:eastAsia="仿宋_GB2312" w:hAnsi="Arial" w:cs="Arial"/>
          <w:sz w:val="32"/>
          <w:szCs w:val="32"/>
        </w:rPr>
        <w:t>。</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十</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执行知识产权侵权损害评估业务，资产评估专业人员</w:t>
      </w:r>
      <w:r>
        <w:rPr>
          <w:rFonts w:ascii="Arial" w:eastAsia="仿宋_GB2312" w:hAnsi="Arial" w:cs="Arial" w:hint="eastAsia"/>
          <w:sz w:val="32"/>
          <w:szCs w:val="32"/>
        </w:rPr>
        <w:t>需要</w:t>
      </w:r>
      <w:r>
        <w:rPr>
          <w:rFonts w:ascii="Arial" w:eastAsia="仿宋_GB2312" w:hAnsi="Arial" w:cs="Arial"/>
          <w:sz w:val="32"/>
          <w:szCs w:val="32"/>
        </w:rPr>
        <w:t>与委托人和</w:t>
      </w:r>
      <w:r>
        <w:rPr>
          <w:rFonts w:ascii="Arial" w:eastAsia="仿宋_GB2312" w:hAnsi="Arial" w:cs="Arial" w:hint="eastAsia"/>
          <w:sz w:val="32"/>
          <w:szCs w:val="32"/>
        </w:rPr>
        <w:t>相关</w:t>
      </w:r>
      <w:r>
        <w:rPr>
          <w:rFonts w:ascii="Arial" w:eastAsia="仿宋_GB2312" w:hAnsi="Arial" w:cs="Arial"/>
          <w:sz w:val="32"/>
          <w:szCs w:val="32"/>
        </w:rPr>
        <w:t>当事人进行充分沟通，在了解案件基本情况的基础上</w:t>
      </w:r>
      <w:r>
        <w:rPr>
          <w:rFonts w:ascii="Arial" w:eastAsia="仿宋_GB2312" w:hAnsi="Arial" w:cs="Arial" w:hint="eastAsia"/>
          <w:sz w:val="32"/>
          <w:szCs w:val="32"/>
        </w:rPr>
        <w:t>重点关注评估对象、</w:t>
      </w:r>
      <w:r>
        <w:rPr>
          <w:rFonts w:ascii="Arial" w:eastAsia="仿宋_GB2312" w:hAnsi="Arial" w:cs="Arial"/>
          <w:sz w:val="32"/>
          <w:szCs w:val="32"/>
        </w:rPr>
        <w:t>损害行为、损害期间和损害范围等。</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第十</w:t>
      </w:r>
      <w:r>
        <w:rPr>
          <w:rFonts w:ascii="Arial" w:eastAsia="仿宋_GB2312" w:hAnsi="Arial" w:cs="Arial" w:hint="eastAsia"/>
          <w:b/>
          <w:bCs/>
          <w:sz w:val="32"/>
          <w:szCs w:val="32"/>
        </w:rPr>
        <w:t>一</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根据法律法规和司法解释的相关规定，增量收益（或费用减少）途径是确定知识产权侵权损害的主要途径，将资产评估技术应用于知识产权侵权损害评估，</w:t>
      </w:r>
      <w:r>
        <w:rPr>
          <w:rFonts w:ascii="Arial" w:eastAsia="仿宋_GB2312" w:hAnsi="Arial" w:cs="Arial" w:hint="eastAsia"/>
          <w:sz w:val="32"/>
          <w:szCs w:val="32"/>
        </w:rPr>
        <w:t>结合司法判例，</w:t>
      </w:r>
      <w:r>
        <w:rPr>
          <w:rFonts w:ascii="Arial" w:eastAsia="仿宋_GB2312" w:hAnsi="Arial" w:cs="Arial"/>
          <w:sz w:val="32"/>
          <w:szCs w:val="32"/>
        </w:rPr>
        <w:t>主要方法</w:t>
      </w:r>
      <w:r>
        <w:rPr>
          <w:rFonts w:ascii="Arial" w:eastAsia="仿宋_GB2312" w:hAnsi="Arial" w:cs="Arial" w:hint="eastAsia"/>
          <w:sz w:val="32"/>
          <w:szCs w:val="32"/>
        </w:rPr>
        <w:t>包括</w:t>
      </w:r>
      <w:r>
        <w:rPr>
          <w:rFonts w:ascii="Arial" w:eastAsia="仿宋_GB2312" w:hAnsi="Arial" w:cs="Arial"/>
          <w:sz w:val="32"/>
          <w:szCs w:val="32"/>
        </w:rPr>
        <w:t>侵权损失法、侵权获利法及合理许可费法。根据案件基本情况，资产评估机构</w:t>
      </w:r>
      <w:r>
        <w:rPr>
          <w:rFonts w:ascii="Arial" w:eastAsia="仿宋_GB2312" w:hAnsi="Arial" w:cs="Arial" w:hint="eastAsia"/>
          <w:sz w:val="32"/>
          <w:szCs w:val="32"/>
        </w:rPr>
        <w:t>及其</w:t>
      </w:r>
      <w:r>
        <w:rPr>
          <w:rFonts w:ascii="Arial" w:eastAsia="仿宋_GB2312" w:hAnsi="Arial" w:cs="Arial"/>
          <w:sz w:val="32"/>
          <w:szCs w:val="32"/>
        </w:rPr>
        <w:t>资产评估专业人员也可</w:t>
      </w:r>
      <w:r>
        <w:rPr>
          <w:rFonts w:ascii="Arial" w:eastAsia="仿宋_GB2312" w:hAnsi="Arial" w:cs="Arial" w:hint="eastAsia"/>
          <w:sz w:val="32"/>
          <w:szCs w:val="32"/>
        </w:rPr>
        <w:t>以</w:t>
      </w:r>
      <w:r>
        <w:rPr>
          <w:rFonts w:ascii="Arial" w:eastAsia="仿宋_GB2312" w:hAnsi="Arial" w:cs="Arial"/>
          <w:sz w:val="32"/>
          <w:szCs w:val="32"/>
        </w:rPr>
        <w:t>选择法院</w:t>
      </w:r>
      <w:r>
        <w:rPr>
          <w:rFonts w:ascii="Arial" w:eastAsia="仿宋_GB2312" w:hAnsi="Arial" w:cs="Arial" w:hint="eastAsia"/>
          <w:sz w:val="32"/>
          <w:szCs w:val="32"/>
        </w:rPr>
        <w:t>以</w:t>
      </w:r>
      <w:r>
        <w:rPr>
          <w:rFonts w:ascii="Arial" w:eastAsia="仿宋_GB2312" w:hAnsi="Arial" w:cs="Arial"/>
          <w:sz w:val="32"/>
          <w:szCs w:val="32"/>
        </w:rPr>
        <w:t>及当事人认可的其他方法。</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第十</w:t>
      </w:r>
      <w:r>
        <w:rPr>
          <w:rFonts w:ascii="Arial" w:eastAsia="仿宋_GB2312" w:hAnsi="Arial" w:cs="Arial" w:hint="eastAsia"/>
          <w:b/>
          <w:bCs/>
          <w:sz w:val="32"/>
          <w:szCs w:val="32"/>
        </w:rPr>
        <w:t>二</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执行知识产权侵权损害评估业务，</w:t>
      </w:r>
      <w:r>
        <w:rPr>
          <w:rFonts w:ascii="Arial" w:eastAsia="仿宋_GB2312" w:hAnsi="Arial" w:cs="Arial" w:hint="eastAsia"/>
          <w:sz w:val="32"/>
          <w:szCs w:val="32"/>
        </w:rPr>
        <w:t>需要</w:t>
      </w:r>
      <w:r>
        <w:rPr>
          <w:rFonts w:ascii="Arial" w:eastAsia="仿宋_GB2312" w:hAnsi="Arial" w:cs="Arial"/>
          <w:sz w:val="32"/>
          <w:szCs w:val="32"/>
        </w:rPr>
        <w:t>关注涉案知识产权资产的基本情况：</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（一）知识产权资产权利的法律文件、权属有效性文件或其他证明文件；</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（二）知识产权资产特征</w:t>
      </w:r>
      <w:r>
        <w:rPr>
          <w:rFonts w:ascii="Arial" w:eastAsia="仿宋_GB2312" w:hAnsi="Arial" w:cs="Arial" w:hint="eastAsia"/>
          <w:sz w:val="32"/>
          <w:szCs w:val="32"/>
        </w:rPr>
        <w:t>、资产组合情况、</w:t>
      </w:r>
      <w:r>
        <w:rPr>
          <w:rFonts w:ascii="Arial" w:eastAsia="仿宋_GB2312" w:hAnsi="Arial" w:cs="Arial"/>
          <w:sz w:val="32"/>
          <w:szCs w:val="32"/>
        </w:rPr>
        <w:t>使用状况或实施</w:t>
      </w:r>
      <w:r>
        <w:rPr>
          <w:rFonts w:ascii="Arial" w:eastAsia="仿宋_GB2312" w:hAnsi="Arial" w:cs="Arial"/>
          <w:sz w:val="32"/>
          <w:szCs w:val="32"/>
        </w:rPr>
        <w:lastRenderedPageBreak/>
        <w:t>状态</w:t>
      </w:r>
      <w:r>
        <w:rPr>
          <w:rFonts w:ascii="Arial" w:eastAsia="仿宋_GB2312" w:hAnsi="Arial" w:cs="Arial" w:hint="eastAsia"/>
          <w:sz w:val="32"/>
          <w:szCs w:val="32"/>
        </w:rPr>
        <w:t>、</w:t>
      </w:r>
      <w:r>
        <w:rPr>
          <w:rFonts w:ascii="Arial" w:eastAsia="仿宋_GB2312" w:hAnsi="Arial" w:cs="Arial"/>
          <w:sz w:val="32"/>
          <w:szCs w:val="32"/>
        </w:rPr>
        <w:t>历史沿革</w:t>
      </w:r>
      <w:r>
        <w:rPr>
          <w:rFonts w:ascii="Arial" w:eastAsia="仿宋_GB2312" w:hAnsi="Arial" w:cs="Arial" w:hint="eastAsia"/>
          <w:sz w:val="32"/>
          <w:szCs w:val="32"/>
        </w:rPr>
        <w:t>以及以往的评估和交易情况；</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（三）知识产权资产实施的地域范围、领域范围、获利能力和</w:t>
      </w:r>
      <w:r>
        <w:rPr>
          <w:rFonts w:ascii="Arial" w:eastAsia="仿宋_GB2312" w:hAnsi="Arial" w:cs="Arial" w:hint="eastAsia"/>
          <w:sz w:val="32"/>
          <w:szCs w:val="32"/>
        </w:rPr>
        <w:t>收益模式；</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hint="eastAsia"/>
          <w:sz w:val="32"/>
          <w:szCs w:val="32"/>
        </w:rPr>
        <w:t>（四）</w:t>
      </w:r>
      <w:r>
        <w:rPr>
          <w:rFonts w:ascii="Arial" w:eastAsia="仿宋_GB2312" w:hAnsi="Arial" w:cs="Arial"/>
          <w:sz w:val="32"/>
          <w:szCs w:val="32"/>
        </w:rPr>
        <w:t>知识产权资产是否能给权利人带来持续的可辨识经济利益；</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w:t>
      </w:r>
      <w:r>
        <w:rPr>
          <w:rFonts w:ascii="Arial" w:eastAsia="仿宋_GB2312" w:hAnsi="Arial" w:cs="Arial" w:hint="eastAsia"/>
          <w:sz w:val="32"/>
          <w:szCs w:val="32"/>
        </w:rPr>
        <w:t>五</w:t>
      </w:r>
      <w:r>
        <w:rPr>
          <w:rFonts w:ascii="Arial" w:eastAsia="仿宋_GB2312" w:hAnsi="Arial" w:cs="Arial"/>
          <w:sz w:val="32"/>
          <w:szCs w:val="32"/>
        </w:rPr>
        <w:t>）知识产权资产的法定寿命和剩余经济寿命</w:t>
      </w:r>
      <w:r>
        <w:rPr>
          <w:rFonts w:ascii="Arial" w:eastAsia="仿宋_GB2312" w:hAnsi="Arial" w:cs="Arial" w:hint="eastAsia"/>
          <w:sz w:val="32"/>
          <w:szCs w:val="32"/>
        </w:rPr>
        <w:t>，知识产权资产的保护措施</w:t>
      </w:r>
      <w:r>
        <w:rPr>
          <w:rFonts w:ascii="Arial" w:eastAsia="仿宋_GB2312" w:hAnsi="Arial" w:cs="Arial"/>
          <w:sz w:val="32"/>
          <w:szCs w:val="32"/>
        </w:rPr>
        <w:t>；</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w:t>
      </w:r>
      <w:r>
        <w:rPr>
          <w:rFonts w:ascii="Arial" w:eastAsia="仿宋_GB2312" w:hAnsi="Arial" w:cs="Arial" w:hint="eastAsia"/>
          <w:sz w:val="32"/>
          <w:szCs w:val="32"/>
        </w:rPr>
        <w:t>六</w:t>
      </w:r>
      <w:r>
        <w:rPr>
          <w:rFonts w:ascii="Arial" w:eastAsia="仿宋_GB2312" w:hAnsi="Arial" w:cs="Arial"/>
          <w:sz w:val="32"/>
          <w:szCs w:val="32"/>
        </w:rPr>
        <w:t>）知识产权资产在实施过程中所受到的法律、行政法规或其他限制；</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w:t>
      </w:r>
      <w:r>
        <w:rPr>
          <w:rFonts w:ascii="Arial" w:eastAsia="仿宋_GB2312" w:hAnsi="Arial" w:cs="Arial" w:hint="eastAsia"/>
          <w:sz w:val="32"/>
          <w:szCs w:val="32"/>
        </w:rPr>
        <w:t>七</w:t>
      </w:r>
      <w:r>
        <w:rPr>
          <w:rFonts w:ascii="Arial" w:eastAsia="仿宋_GB2312" w:hAnsi="Arial" w:cs="Arial"/>
          <w:sz w:val="32"/>
          <w:szCs w:val="32"/>
        </w:rPr>
        <w:t>）类似知识产权资产的许可费率及类似知识产权资产自身市场交易价格信息；</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w:t>
      </w:r>
      <w:r>
        <w:rPr>
          <w:rFonts w:ascii="Arial" w:eastAsia="仿宋_GB2312" w:hAnsi="Arial" w:cs="Arial" w:hint="eastAsia"/>
          <w:sz w:val="32"/>
          <w:szCs w:val="32"/>
        </w:rPr>
        <w:t>八</w:t>
      </w:r>
      <w:r>
        <w:rPr>
          <w:rFonts w:ascii="Arial" w:eastAsia="仿宋_GB2312" w:hAnsi="Arial" w:cs="Arial"/>
          <w:sz w:val="32"/>
          <w:szCs w:val="32"/>
        </w:rPr>
        <w:t>）知识产权资产遭受侵权的起始时间、期限，以及侵权对权利人造成的经济利益损害情况</w:t>
      </w:r>
      <w:r>
        <w:rPr>
          <w:rFonts w:ascii="Arial" w:eastAsia="仿宋_GB2312" w:hAnsi="Arial" w:cs="Arial" w:hint="eastAsia"/>
          <w:sz w:val="32"/>
          <w:szCs w:val="32"/>
        </w:rPr>
        <w:t>、</w:t>
      </w:r>
      <w:r>
        <w:rPr>
          <w:rFonts w:ascii="Arial" w:eastAsia="仿宋_GB2312" w:hAnsi="Arial" w:cs="Arial"/>
          <w:sz w:val="32"/>
          <w:szCs w:val="32"/>
        </w:rPr>
        <w:t>侵权人非法获利情况等</w:t>
      </w:r>
      <w:r>
        <w:rPr>
          <w:rFonts w:ascii="Arial" w:eastAsia="仿宋_GB2312" w:hAnsi="Arial" w:cs="Arial" w:hint="eastAsia"/>
          <w:sz w:val="32"/>
          <w:szCs w:val="32"/>
        </w:rPr>
        <w:t>；</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w:t>
      </w:r>
      <w:r>
        <w:rPr>
          <w:rFonts w:ascii="Arial" w:eastAsia="仿宋_GB2312" w:hAnsi="Arial" w:cs="Arial" w:hint="eastAsia"/>
          <w:sz w:val="32"/>
          <w:szCs w:val="32"/>
        </w:rPr>
        <w:t>九</w:t>
      </w:r>
      <w:r>
        <w:rPr>
          <w:rFonts w:ascii="Arial" w:eastAsia="仿宋_GB2312" w:hAnsi="Arial" w:cs="Arial"/>
          <w:sz w:val="32"/>
          <w:szCs w:val="32"/>
        </w:rPr>
        <w:t>）其他相关信息。</w:t>
      </w:r>
    </w:p>
    <w:p w:rsidR="0028646B" w:rsidRDefault="0068618A">
      <w:pPr>
        <w:pStyle w:val="a0"/>
        <w:spacing w:line="578" w:lineRule="exact"/>
        <w:ind w:firstLine="633"/>
        <w:rPr>
          <w:rFonts w:ascii="Arial" w:eastAsia="仿宋_GB2312" w:hAnsi="Arial" w:cs="Arial"/>
          <w:sz w:val="32"/>
          <w:szCs w:val="32"/>
        </w:rPr>
      </w:pPr>
      <w:r>
        <w:rPr>
          <w:rFonts w:ascii="Arial" w:eastAsia="仿宋_GB2312" w:hAnsi="Arial" w:cs="Arial"/>
          <w:b/>
          <w:bCs/>
          <w:sz w:val="32"/>
          <w:szCs w:val="32"/>
        </w:rPr>
        <w:t>第十</w:t>
      </w:r>
      <w:r>
        <w:rPr>
          <w:rFonts w:ascii="Arial" w:eastAsia="仿宋_GB2312" w:hAnsi="Arial" w:cs="Arial" w:hint="eastAsia"/>
          <w:b/>
          <w:bCs/>
          <w:sz w:val="32"/>
          <w:szCs w:val="32"/>
        </w:rPr>
        <w:t>三</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执行知识产权侵权损害评估业务，</w:t>
      </w:r>
      <w:r>
        <w:rPr>
          <w:rFonts w:ascii="Arial" w:eastAsia="仿宋_GB2312" w:hAnsi="Arial" w:cs="Arial" w:hint="eastAsia"/>
          <w:sz w:val="32"/>
          <w:szCs w:val="32"/>
        </w:rPr>
        <w:t>需要</w:t>
      </w:r>
      <w:r>
        <w:rPr>
          <w:rFonts w:ascii="Arial" w:eastAsia="仿宋_GB2312" w:hAnsi="Arial" w:cs="Arial"/>
          <w:sz w:val="32"/>
          <w:szCs w:val="32"/>
        </w:rPr>
        <w:t>尽可能要求委托人</w:t>
      </w:r>
      <w:r>
        <w:rPr>
          <w:rFonts w:ascii="Arial" w:eastAsia="仿宋_GB2312" w:hAnsi="Arial" w:cs="Arial" w:hint="eastAsia"/>
          <w:sz w:val="32"/>
          <w:szCs w:val="32"/>
        </w:rPr>
        <w:t>和相关当事人</w:t>
      </w:r>
      <w:r>
        <w:rPr>
          <w:rFonts w:ascii="Arial" w:eastAsia="仿宋_GB2312" w:hAnsi="Arial" w:cs="Arial"/>
          <w:sz w:val="32"/>
          <w:szCs w:val="32"/>
        </w:rPr>
        <w:t>提供相关资料</w:t>
      </w:r>
      <w:r>
        <w:rPr>
          <w:rFonts w:ascii="Arial" w:eastAsia="仿宋_GB2312" w:hAnsi="Arial" w:cs="Arial" w:hint="eastAsia"/>
          <w:sz w:val="32"/>
          <w:szCs w:val="32"/>
        </w:rPr>
        <w:t>并</w:t>
      </w:r>
      <w:r>
        <w:rPr>
          <w:rFonts w:ascii="Arial" w:eastAsia="仿宋_GB2312" w:hAnsi="Arial" w:cs="Arial"/>
          <w:sz w:val="32"/>
          <w:szCs w:val="32"/>
        </w:rPr>
        <w:t>对资料的真实性、完整性、合法性进行确认，</w:t>
      </w:r>
      <w:r>
        <w:rPr>
          <w:rFonts w:ascii="Arial" w:eastAsia="仿宋_GB2312" w:hAnsi="Arial" w:cs="Arial" w:hint="eastAsia"/>
          <w:sz w:val="32"/>
          <w:szCs w:val="32"/>
        </w:rPr>
        <w:t>并通过市场调查、专家访谈等方式</w:t>
      </w:r>
      <w:r>
        <w:rPr>
          <w:rFonts w:ascii="Arial" w:eastAsia="仿宋_GB2312" w:hAnsi="Arial" w:cs="Arial"/>
          <w:sz w:val="32"/>
          <w:szCs w:val="32"/>
        </w:rPr>
        <w:t>收集权利人遭受侵权而损失的经济利益以及侵权人因侵权所获得的经济利益等</w:t>
      </w:r>
      <w:r>
        <w:rPr>
          <w:rFonts w:ascii="Arial" w:eastAsia="仿宋_GB2312" w:hAnsi="Arial" w:cs="Arial" w:hint="eastAsia"/>
          <w:sz w:val="32"/>
          <w:szCs w:val="32"/>
        </w:rPr>
        <w:t>评估资料，必要时可以利用专家工作及相关报告。</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第十</w:t>
      </w:r>
      <w:r>
        <w:rPr>
          <w:rFonts w:ascii="Arial" w:eastAsia="仿宋_GB2312" w:hAnsi="Arial" w:cs="Arial" w:hint="eastAsia"/>
          <w:b/>
          <w:bCs/>
          <w:sz w:val="32"/>
          <w:szCs w:val="32"/>
        </w:rPr>
        <w:t>四</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执行知识产权侵权损害评估业务，</w:t>
      </w:r>
      <w:r>
        <w:rPr>
          <w:rFonts w:ascii="Arial" w:eastAsia="仿宋_GB2312" w:hAnsi="Arial" w:cs="Arial" w:hint="eastAsia"/>
          <w:sz w:val="32"/>
          <w:szCs w:val="32"/>
        </w:rPr>
        <w:t>需要</w:t>
      </w:r>
      <w:r>
        <w:rPr>
          <w:rFonts w:ascii="Arial" w:eastAsia="仿宋_GB2312" w:hAnsi="Arial" w:cs="Arial"/>
          <w:sz w:val="32"/>
          <w:szCs w:val="32"/>
        </w:rPr>
        <w:t>尽可能在</w:t>
      </w:r>
      <w:r>
        <w:rPr>
          <w:rFonts w:ascii="Arial" w:eastAsia="仿宋_GB2312" w:hAnsi="Arial" w:cs="Arial" w:hint="eastAsia"/>
          <w:sz w:val="32"/>
          <w:szCs w:val="32"/>
        </w:rPr>
        <w:t>委托人和相关</w:t>
      </w:r>
      <w:r>
        <w:rPr>
          <w:rFonts w:ascii="Arial" w:eastAsia="仿宋_GB2312" w:hAnsi="Arial" w:cs="Arial"/>
          <w:sz w:val="32"/>
          <w:szCs w:val="32"/>
        </w:rPr>
        <w:t>当事人的配合下进行现场调查，保留必要的文字</w:t>
      </w:r>
      <w:r>
        <w:rPr>
          <w:rFonts w:ascii="Arial" w:eastAsia="仿宋_GB2312" w:hAnsi="Arial" w:cs="Arial" w:hint="eastAsia"/>
          <w:sz w:val="32"/>
          <w:szCs w:val="32"/>
        </w:rPr>
        <w:t>、语音、</w:t>
      </w:r>
      <w:r>
        <w:rPr>
          <w:rFonts w:ascii="Arial" w:eastAsia="仿宋_GB2312" w:hAnsi="Arial" w:cs="Arial"/>
          <w:sz w:val="32"/>
          <w:szCs w:val="32"/>
        </w:rPr>
        <w:t>照片</w:t>
      </w:r>
      <w:r>
        <w:rPr>
          <w:rFonts w:ascii="Arial" w:eastAsia="仿宋_GB2312" w:hAnsi="Arial" w:cs="Arial" w:hint="eastAsia"/>
          <w:sz w:val="32"/>
          <w:szCs w:val="32"/>
        </w:rPr>
        <w:t>、影像</w:t>
      </w:r>
      <w:r>
        <w:rPr>
          <w:rFonts w:ascii="Arial" w:eastAsia="仿宋_GB2312" w:hAnsi="Arial" w:cs="Arial"/>
          <w:sz w:val="32"/>
          <w:szCs w:val="32"/>
        </w:rPr>
        <w:t>等资料，以书面形式记录调查的时间、地点、</w:t>
      </w:r>
      <w:r>
        <w:rPr>
          <w:rFonts w:ascii="Arial" w:eastAsia="仿宋_GB2312" w:hAnsi="Arial" w:cs="Arial"/>
          <w:sz w:val="32"/>
          <w:szCs w:val="32"/>
        </w:rPr>
        <w:lastRenderedPageBreak/>
        <w:t>过程、结果等，并与</w:t>
      </w:r>
      <w:r>
        <w:rPr>
          <w:rFonts w:ascii="Arial" w:eastAsia="仿宋_GB2312" w:hAnsi="Arial" w:cs="Arial" w:hint="eastAsia"/>
          <w:sz w:val="32"/>
          <w:szCs w:val="32"/>
        </w:rPr>
        <w:t>委托人和相关</w:t>
      </w:r>
      <w:r>
        <w:rPr>
          <w:rFonts w:ascii="Arial" w:eastAsia="仿宋_GB2312" w:hAnsi="Arial" w:cs="Arial"/>
          <w:sz w:val="32"/>
          <w:szCs w:val="32"/>
        </w:rPr>
        <w:t>当事人</w:t>
      </w:r>
      <w:r>
        <w:rPr>
          <w:rFonts w:ascii="Arial" w:eastAsia="仿宋_GB2312" w:hAnsi="Arial" w:cs="Arial" w:hint="eastAsia"/>
          <w:sz w:val="32"/>
          <w:szCs w:val="32"/>
        </w:rPr>
        <w:t>等共同</w:t>
      </w:r>
      <w:r>
        <w:rPr>
          <w:rFonts w:ascii="Arial" w:eastAsia="仿宋_GB2312" w:hAnsi="Arial" w:cs="Arial"/>
          <w:sz w:val="32"/>
          <w:szCs w:val="32"/>
        </w:rPr>
        <w:t>确认。对于</w:t>
      </w:r>
      <w:r>
        <w:rPr>
          <w:rFonts w:ascii="Arial" w:eastAsia="仿宋_GB2312" w:hAnsi="Arial" w:cs="Arial" w:hint="eastAsia"/>
          <w:sz w:val="32"/>
          <w:szCs w:val="32"/>
        </w:rPr>
        <w:t>委托人或相关</w:t>
      </w:r>
      <w:r>
        <w:rPr>
          <w:rFonts w:ascii="Arial" w:eastAsia="仿宋_GB2312" w:hAnsi="Arial" w:cs="Arial"/>
          <w:sz w:val="32"/>
          <w:szCs w:val="32"/>
        </w:rPr>
        <w:t>当事人不在场或不予配合的情况，</w:t>
      </w:r>
      <w:r>
        <w:rPr>
          <w:rFonts w:ascii="Arial" w:eastAsia="仿宋_GB2312" w:hAnsi="Arial" w:cs="Arial" w:hint="eastAsia"/>
          <w:sz w:val="32"/>
          <w:szCs w:val="32"/>
        </w:rPr>
        <w:t>需要</w:t>
      </w:r>
      <w:r>
        <w:rPr>
          <w:rFonts w:ascii="Arial" w:eastAsia="仿宋_GB2312" w:hAnsi="Arial" w:cs="Arial"/>
          <w:sz w:val="32"/>
          <w:szCs w:val="32"/>
        </w:rPr>
        <w:t>详细记录现场情况，收集必要的证据资料，并在资产评估报告中予以披露。</w:t>
      </w:r>
    </w:p>
    <w:p w:rsidR="0028646B" w:rsidRDefault="0068618A">
      <w:pPr>
        <w:spacing w:beforeLines="100" w:before="579" w:afterLines="100" w:after="579" w:line="578" w:lineRule="exact"/>
        <w:jc w:val="center"/>
        <w:outlineLvl w:val="1"/>
        <w:rPr>
          <w:rFonts w:ascii="Arial" w:eastAsia="黑体" w:hAnsi="Arial" w:cs="Arial"/>
          <w:sz w:val="32"/>
          <w:szCs w:val="32"/>
        </w:rPr>
      </w:pPr>
      <w:r>
        <w:rPr>
          <w:rFonts w:ascii="Arial" w:eastAsia="黑体" w:hAnsi="Arial" w:cs="Arial"/>
          <w:sz w:val="32"/>
          <w:szCs w:val="32"/>
        </w:rPr>
        <w:t>第四章</w:t>
      </w:r>
      <w:r>
        <w:rPr>
          <w:rFonts w:ascii="Arial" w:eastAsia="黑体" w:hAnsi="Arial" w:cs="Arial"/>
          <w:sz w:val="32"/>
          <w:szCs w:val="32"/>
        </w:rPr>
        <w:t xml:space="preserve"> </w:t>
      </w:r>
      <w:r>
        <w:rPr>
          <w:rFonts w:ascii="Arial" w:eastAsia="黑体" w:hAnsi="Arial" w:cs="Arial"/>
          <w:sz w:val="32"/>
          <w:szCs w:val="32"/>
        </w:rPr>
        <w:t>评估方法</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第十</w:t>
      </w:r>
      <w:r>
        <w:rPr>
          <w:rFonts w:ascii="Arial" w:eastAsia="仿宋_GB2312" w:hAnsi="Arial" w:cs="Arial" w:hint="eastAsia"/>
          <w:b/>
          <w:bCs/>
          <w:sz w:val="32"/>
          <w:szCs w:val="32"/>
        </w:rPr>
        <w:t>五</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根据当前法律法规及司法解释规定，知识产权侵权损害评估方法选择</w:t>
      </w:r>
      <w:r>
        <w:rPr>
          <w:rFonts w:ascii="Arial" w:eastAsia="仿宋_GB2312" w:hAnsi="Arial" w:cs="Arial" w:hint="eastAsia"/>
          <w:sz w:val="32"/>
          <w:szCs w:val="32"/>
        </w:rPr>
        <w:t>的</w:t>
      </w:r>
      <w:r>
        <w:rPr>
          <w:rFonts w:ascii="Arial" w:eastAsia="仿宋_GB2312" w:hAnsi="Arial" w:cs="Arial"/>
          <w:sz w:val="32"/>
          <w:szCs w:val="32"/>
        </w:rPr>
        <w:t>先后次序</w:t>
      </w:r>
      <w:r>
        <w:rPr>
          <w:rFonts w:ascii="Arial" w:eastAsia="仿宋_GB2312" w:hAnsi="Arial" w:cs="Arial" w:hint="eastAsia"/>
          <w:sz w:val="32"/>
          <w:szCs w:val="32"/>
        </w:rPr>
        <w:t>为</w:t>
      </w:r>
      <w:r>
        <w:rPr>
          <w:rFonts w:ascii="Arial" w:eastAsia="仿宋_GB2312" w:hAnsi="Arial" w:cs="Arial"/>
          <w:sz w:val="32"/>
          <w:szCs w:val="32"/>
        </w:rPr>
        <w:t>侵权损失法、侵权获利法、合理许可费法，即知识产权侵权损害数额首先要根据权利人因被侵权所遭受的实际损失确定，实际损失难以确定的，可以按照侵权人因侵权所获得的利益确定，权利人损失或侵权人获利</w:t>
      </w:r>
      <w:r>
        <w:rPr>
          <w:rFonts w:ascii="Arial" w:eastAsia="仿宋_GB2312" w:hAnsi="Arial" w:cs="Arial" w:hint="eastAsia"/>
          <w:sz w:val="32"/>
          <w:szCs w:val="32"/>
        </w:rPr>
        <w:t>均</w:t>
      </w:r>
      <w:r>
        <w:rPr>
          <w:rFonts w:ascii="Arial" w:eastAsia="仿宋_GB2312" w:hAnsi="Arial" w:cs="Arial"/>
          <w:sz w:val="32"/>
          <w:szCs w:val="32"/>
        </w:rPr>
        <w:t>难以确定的，可参照该知识产权许可费的倍数合理确定。执行知识产权侵权损害评估业务，</w:t>
      </w:r>
      <w:r>
        <w:rPr>
          <w:rFonts w:ascii="Arial" w:eastAsia="仿宋_GB2312" w:hAnsi="Arial" w:cs="Arial" w:hint="eastAsia"/>
          <w:sz w:val="32"/>
          <w:szCs w:val="32"/>
        </w:rPr>
        <w:t>需要</w:t>
      </w:r>
      <w:r>
        <w:rPr>
          <w:rFonts w:ascii="Arial" w:eastAsia="仿宋_GB2312" w:hAnsi="Arial" w:cs="Arial"/>
          <w:sz w:val="32"/>
          <w:szCs w:val="32"/>
        </w:rPr>
        <w:t>根据</w:t>
      </w:r>
      <w:r>
        <w:rPr>
          <w:rFonts w:ascii="Arial" w:eastAsia="仿宋_GB2312" w:hAnsi="Arial" w:cs="Arial" w:hint="eastAsia"/>
          <w:sz w:val="32"/>
          <w:szCs w:val="32"/>
        </w:rPr>
        <w:t>资产</w:t>
      </w:r>
      <w:r>
        <w:rPr>
          <w:rFonts w:ascii="Arial" w:eastAsia="仿宋_GB2312" w:hAnsi="Arial" w:cs="Arial"/>
          <w:sz w:val="32"/>
          <w:szCs w:val="32"/>
        </w:rPr>
        <w:t>评估程序的可执行情况、评估资料的可获取情况等，按照优先次序选择一种合适的方法进行评估。</w:t>
      </w:r>
      <w:r>
        <w:rPr>
          <w:rFonts w:ascii="Arial" w:eastAsia="仿宋_GB2312" w:hAnsi="Arial" w:cs="Arial" w:hint="eastAsia"/>
          <w:sz w:val="32"/>
          <w:szCs w:val="32"/>
        </w:rPr>
        <w:t>当存在特殊情形需要用到两种或两种以上评估方法的，应当与法院及相关当事人进行充分沟通，并在评估报告中进行披露说明。</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第十</w:t>
      </w:r>
      <w:r>
        <w:rPr>
          <w:rFonts w:ascii="Arial" w:eastAsia="仿宋_GB2312" w:hAnsi="Arial" w:cs="Arial" w:hint="eastAsia"/>
          <w:b/>
          <w:bCs/>
          <w:sz w:val="32"/>
          <w:szCs w:val="32"/>
        </w:rPr>
        <w:t>六</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侵权损失法是以权利人知识产权在侵权损害期间收益的减少总额确定侵权损害金额的方法，用公式可以表示为：</w:t>
      </w:r>
    </w:p>
    <w:p w:rsidR="0028646B" w:rsidRDefault="0068618A">
      <w:pPr>
        <w:spacing w:beforeLines="50" w:before="289" w:afterLines="50" w:after="289" w:line="578" w:lineRule="exact"/>
        <w:jc w:val="center"/>
        <w:rPr>
          <w:rFonts w:ascii="Arial" w:eastAsia="仿宋_GB2312" w:hAnsi="Arial" w:cs="Arial"/>
          <w:sz w:val="32"/>
          <w:szCs w:val="32"/>
        </w:rPr>
      </w:pPr>
      <m:oMathPara>
        <m:oMath>
          <m:r>
            <m:rPr>
              <m:sty m:val="p"/>
            </m:rPr>
            <w:rPr>
              <w:rFonts w:ascii="Cambria Math" w:eastAsia="仿宋_GB2312" w:hAnsi="Cambria Math" w:cs="Arial"/>
              <w:sz w:val="32"/>
              <w:szCs w:val="32"/>
            </w:rPr>
            <m:t>侵权损害金额</m:t>
          </m:r>
          <m:r>
            <m:rPr>
              <m:sty m:val="p"/>
            </m:rPr>
            <w:rPr>
              <w:rFonts w:ascii="Cambria Math" w:eastAsia="仿宋_GB2312" w:hAnsi="Cambria Math" w:cs="Arial"/>
              <w:sz w:val="32"/>
              <w:szCs w:val="32"/>
            </w:rPr>
            <m:t>=</m:t>
          </m:r>
          <m:nary>
            <m:naryPr>
              <m:chr m:val="∑"/>
              <m:limLoc m:val="undOvr"/>
              <m:ctrlPr>
                <w:rPr>
                  <w:rFonts w:ascii="Cambria Math" w:eastAsia="仿宋_GB2312" w:hAnsi="Cambria Math" w:cs="Arial"/>
                  <w:sz w:val="32"/>
                  <w:szCs w:val="32"/>
                </w:rPr>
              </m:ctrlPr>
            </m:naryPr>
            <m:sub>
              <m:r>
                <w:rPr>
                  <w:rFonts w:ascii="Cambria Math" w:eastAsia="仿宋_GB2312" w:hAnsi="Cambria Math" w:cs="Arial"/>
                  <w:sz w:val="32"/>
                  <w:szCs w:val="32"/>
                </w:rPr>
                <m:t>i</m:t>
              </m:r>
            </m:sub>
            <m:sup>
              <m:r>
                <w:rPr>
                  <w:rFonts w:ascii="Cambria Math" w:eastAsia="仿宋_GB2312" w:hAnsi="Cambria Math" w:cs="Arial"/>
                  <w:sz w:val="32"/>
                  <w:szCs w:val="32"/>
                </w:rPr>
                <m:t>n</m:t>
              </m:r>
            </m:sup>
            <m:e>
              <m:r>
                <m:rPr>
                  <m:sty m:val="p"/>
                </m:rPr>
                <w:rPr>
                  <w:rFonts w:ascii="Cambria Math" w:eastAsia="仿宋_GB2312" w:hAnsi="Cambria Math" w:cs="Arial"/>
                  <w:sz w:val="32"/>
                  <w:szCs w:val="32"/>
                </w:rPr>
                <m:t>损失收益</m:t>
              </m:r>
            </m:e>
          </m:nary>
        </m:oMath>
      </m:oMathPara>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当侵权时间较长，知识产权侵权损害评估需要考虑时间价值</w:t>
      </w:r>
      <w:r>
        <w:rPr>
          <w:rFonts w:ascii="Arial" w:eastAsia="仿宋_GB2312" w:hAnsi="Arial" w:cs="Arial"/>
          <w:sz w:val="32"/>
          <w:szCs w:val="32"/>
        </w:rPr>
        <w:lastRenderedPageBreak/>
        <w:t>的影响。</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第十</w:t>
      </w:r>
      <w:r>
        <w:rPr>
          <w:rFonts w:ascii="Arial" w:eastAsia="仿宋_GB2312" w:hAnsi="Arial" w:cs="Arial" w:hint="eastAsia"/>
          <w:b/>
          <w:bCs/>
          <w:sz w:val="32"/>
          <w:szCs w:val="32"/>
        </w:rPr>
        <w:t>七</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侵权损失法中的损失收益是指权利人被侵权后的收益水平与未遭受侵权时可获得的收益水平的差额，用公式表示如下：</w:t>
      </w:r>
    </w:p>
    <w:p w:rsidR="0028646B" w:rsidRDefault="0068618A" w:rsidP="00783E27">
      <w:pPr>
        <w:tabs>
          <w:tab w:val="left" w:pos="2552"/>
        </w:tabs>
        <w:spacing w:line="578" w:lineRule="exact"/>
        <w:ind w:leftChars="-270" w:left="-553" w:firstLineChars="200" w:firstLine="630"/>
        <w:rPr>
          <w:rFonts w:ascii="Arial" w:eastAsia="仿宋_GB2312" w:hAnsi="Arial" w:cs="Arial"/>
          <w:sz w:val="32"/>
          <w:szCs w:val="32"/>
        </w:rPr>
      </w:pPr>
      <m:oMathPara>
        <m:oMath>
          <m:r>
            <m:rPr>
              <m:sty m:val="p"/>
            </m:rPr>
            <w:rPr>
              <w:rFonts w:ascii="Cambria Math" w:eastAsia="仿宋_GB2312" w:hAnsi="Cambria Math" w:cs="Arial"/>
              <w:sz w:val="32"/>
              <w:szCs w:val="32"/>
            </w:rPr>
            <m:t>损失收益</m:t>
          </m:r>
          <m:r>
            <m:rPr>
              <m:sty m:val="p"/>
            </m:rPr>
            <w:rPr>
              <w:rFonts w:ascii="Cambria Math" w:eastAsia="仿宋_GB2312" w:hAnsi="Cambria Math" w:cs="Arial"/>
              <w:sz w:val="32"/>
              <w:szCs w:val="32"/>
            </w:rPr>
            <m:t>=</m:t>
          </m:r>
          <m:r>
            <m:rPr>
              <m:sty m:val="p"/>
            </m:rPr>
            <w:rPr>
              <w:rFonts w:ascii="Cambria Math" w:eastAsia="仿宋_GB2312" w:hAnsi="Cambria Math" w:cs="Arial"/>
              <w:sz w:val="32"/>
              <w:szCs w:val="32"/>
            </w:rPr>
            <m:t>未侵权</m:t>
          </m:r>
          <m:r>
            <m:rPr>
              <m:sty m:val="p"/>
            </m:rPr>
            <w:rPr>
              <w:rFonts w:ascii="Cambria Math" w:eastAsia="仿宋_GB2312" w:hAnsi="Cambria Math" w:cs="Arial" w:hint="eastAsia"/>
              <w:sz w:val="32"/>
              <w:szCs w:val="32"/>
            </w:rPr>
            <m:t>预计</m:t>
          </m:r>
          <m:r>
            <m:rPr>
              <m:sty m:val="p"/>
            </m:rPr>
            <w:rPr>
              <w:rFonts w:ascii="Cambria Math" w:eastAsia="仿宋_GB2312" w:hAnsi="Cambria Math" w:cs="Arial"/>
              <w:sz w:val="32"/>
              <w:szCs w:val="32"/>
            </w:rPr>
            <m:t>收益</m:t>
          </m:r>
          <m:r>
            <m:rPr>
              <m:sty m:val="p"/>
            </m:rPr>
            <w:rPr>
              <w:rFonts w:ascii="Cambria Math" w:eastAsia="微软雅黑" w:hAnsi="Cambria Math" w:cs="Arial"/>
              <w:sz w:val="32"/>
              <w:szCs w:val="32"/>
            </w:rPr>
            <m:t>-</m:t>
          </m:r>
          <m:r>
            <m:rPr>
              <m:sty m:val="p"/>
            </m:rPr>
            <w:rPr>
              <w:rFonts w:ascii="Cambria Math" w:eastAsia="仿宋_GB2312" w:hAnsi="Cambria Math" w:cs="Arial"/>
              <w:sz w:val="32"/>
              <w:szCs w:val="32"/>
            </w:rPr>
            <m:t>侵权后实际收益</m:t>
          </m:r>
        </m:oMath>
      </m:oMathPara>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资产评估专业人员对损失收益的测算要充分考虑侵权行为对权利人产品销量、产品销售价格以及成本费用的影响。</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十八</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侵权对权利人产品销量的影响可以用替代法、趋势法、比较法等方法对权利人的销量损失进行度量。</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替代法是用侵权人销量作为权利人销量损失的一种简便方法，适用于市场上仅有权利人产品与侵权产品两种，二者在功能特性、用途和价格没有明显差异，权利人产品销量与侵权产品销量存在较强的此消彼长关系的情形。</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趋势法是以权利人未遭受侵权时的历史销量水平为基础，采用回归或外推技术预测权利人在未遭受侵权假设前提下的理论销量水平，通过与遭受侵权后的实际销量水平进行比较得到侵权造成的销量损失的一种方法，适用于知识产权产品在遭受侵权之前具有稳定（增长）的情形。</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比较法是以与被评估知识产权相近的产品为参照，通过比较权利人知识产权产品在其遭受侵权前后与同类可比产品销量差异的变化，反推得到权利人销量损失的一种方法，适用范围较广。</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十九</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无论采用哪种方法估算权利人销量损失，均需通</w:t>
      </w:r>
      <w:r>
        <w:rPr>
          <w:rFonts w:ascii="Arial" w:eastAsia="仿宋_GB2312" w:hAnsi="Arial" w:cs="Arial"/>
          <w:sz w:val="32"/>
          <w:szCs w:val="32"/>
        </w:rPr>
        <w:lastRenderedPageBreak/>
        <w:t>过</w:t>
      </w:r>
      <w:r>
        <w:rPr>
          <w:rFonts w:ascii="Arial" w:eastAsia="仿宋_GB2312" w:hAnsi="Arial" w:cs="Arial" w:hint="eastAsia"/>
          <w:sz w:val="32"/>
          <w:szCs w:val="32"/>
        </w:rPr>
        <w:t>以下几个</w:t>
      </w:r>
      <w:r>
        <w:rPr>
          <w:rFonts w:ascii="Arial" w:eastAsia="仿宋_GB2312" w:hAnsi="Arial" w:cs="Arial"/>
          <w:sz w:val="32"/>
          <w:szCs w:val="32"/>
        </w:rPr>
        <w:t>方面的论证检验：一是有</w:t>
      </w:r>
      <w:r>
        <w:rPr>
          <w:rFonts w:ascii="Arial" w:eastAsia="仿宋_GB2312" w:hAnsi="Arial" w:cs="Arial" w:hint="eastAsia"/>
          <w:sz w:val="32"/>
          <w:szCs w:val="32"/>
        </w:rPr>
        <w:t>适当</w:t>
      </w:r>
      <w:r>
        <w:rPr>
          <w:rFonts w:ascii="Arial" w:eastAsia="仿宋_GB2312" w:hAnsi="Arial" w:cs="Arial"/>
          <w:sz w:val="32"/>
          <w:szCs w:val="32"/>
        </w:rPr>
        <w:t>的证据能够表明知识产权产品在未遭受侵权假设情形下能够实现</w:t>
      </w:r>
      <w:r>
        <w:rPr>
          <w:rFonts w:ascii="Arial" w:eastAsia="仿宋_GB2312" w:hAnsi="Arial" w:cs="Arial" w:hint="eastAsia"/>
          <w:sz w:val="32"/>
          <w:szCs w:val="32"/>
        </w:rPr>
        <w:t>预计</w:t>
      </w:r>
      <w:r>
        <w:rPr>
          <w:rFonts w:ascii="Arial" w:eastAsia="仿宋_GB2312" w:hAnsi="Arial" w:cs="Arial"/>
          <w:sz w:val="32"/>
          <w:szCs w:val="32"/>
        </w:rPr>
        <w:t>的市场需求，</w:t>
      </w:r>
      <w:r>
        <w:rPr>
          <w:rFonts w:ascii="Arial" w:eastAsia="仿宋_GB2312" w:hAnsi="Arial" w:cs="Arial" w:hint="eastAsia"/>
          <w:sz w:val="32"/>
          <w:szCs w:val="32"/>
        </w:rPr>
        <w:t>如产品历史订单保持稳定增长，产品市场规模不断扩大等；</w:t>
      </w:r>
      <w:r>
        <w:rPr>
          <w:rFonts w:ascii="Arial" w:eastAsia="仿宋_GB2312" w:hAnsi="Arial" w:cs="Arial"/>
          <w:sz w:val="32"/>
          <w:szCs w:val="32"/>
        </w:rPr>
        <w:t>二是权利人具有</w:t>
      </w:r>
      <w:r>
        <w:rPr>
          <w:rFonts w:ascii="Arial" w:eastAsia="仿宋_GB2312" w:hAnsi="Arial" w:cs="Arial" w:hint="eastAsia"/>
          <w:sz w:val="32"/>
          <w:szCs w:val="32"/>
        </w:rPr>
        <w:t>满足</w:t>
      </w:r>
      <w:r>
        <w:rPr>
          <w:rFonts w:ascii="Arial" w:eastAsia="仿宋_GB2312" w:hAnsi="Arial" w:cs="Arial"/>
          <w:sz w:val="32"/>
          <w:szCs w:val="32"/>
        </w:rPr>
        <w:t>其产品市场需求的</w:t>
      </w:r>
      <w:r>
        <w:rPr>
          <w:rFonts w:ascii="Arial" w:eastAsia="仿宋_GB2312" w:hAnsi="Arial" w:cs="Arial" w:hint="eastAsia"/>
          <w:sz w:val="32"/>
          <w:szCs w:val="32"/>
        </w:rPr>
        <w:t>产出</w:t>
      </w:r>
      <w:r>
        <w:rPr>
          <w:rFonts w:ascii="Arial" w:eastAsia="仿宋_GB2312" w:hAnsi="Arial" w:cs="Arial"/>
          <w:sz w:val="32"/>
          <w:szCs w:val="32"/>
        </w:rPr>
        <w:t>能力</w:t>
      </w:r>
      <w:r>
        <w:rPr>
          <w:rFonts w:ascii="Arial" w:eastAsia="仿宋_GB2312" w:hAnsi="Arial" w:cs="Arial" w:hint="eastAsia"/>
          <w:sz w:val="32"/>
          <w:szCs w:val="32"/>
        </w:rPr>
        <w:t>、</w:t>
      </w:r>
      <w:r>
        <w:rPr>
          <w:rFonts w:ascii="Arial" w:eastAsia="仿宋_GB2312" w:hAnsi="Arial" w:cs="Arial"/>
          <w:sz w:val="32"/>
          <w:szCs w:val="32"/>
        </w:rPr>
        <w:t>营销能力</w:t>
      </w:r>
      <w:r>
        <w:rPr>
          <w:rFonts w:ascii="Arial" w:eastAsia="仿宋_GB2312" w:hAnsi="Arial" w:cs="Arial" w:hint="eastAsia"/>
          <w:sz w:val="32"/>
          <w:szCs w:val="32"/>
        </w:rPr>
        <w:t>和融资能力，如产品线数量和产能充足，生产人员和营销人员具备足够的专业胜任能力，信用评级良好能够及时获得所需贷款等；三是权利人销量损失确因侵权行为所致，而非宏观经济、行业环境变化等系统性因素的影响。</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第二十条</w:t>
      </w:r>
      <w:r>
        <w:rPr>
          <w:rFonts w:ascii="Arial" w:eastAsia="仿宋_GB2312" w:hAnsi="Arial" w:cs="Arial"/>
          <w:sz w:val="32"/>
          <w:szCs w:val="32"/>
        </w:rPr>
        <w:t xml:space="preserve">  </w:t>
      </w:r>
      <w:r>
        <w:rPr>
          <w:rFonts w:ascii="Arial" w:eastAsia="仿宋_GB2312" w:hAnsi="Arial" w:cs="Arial"/>
          <w:sz w:val="32"/>
          <w:szCs w:val="32"/>
        </w:rPr>
        <w:t>侵权对权利人产品价格的影响表现为市场上同类产品供给量增加所导致的产品价格下降，可以通过市场调研</w:t>
      </w:r>
      <w:r>
        <w:rPr>
          <w:rFonts w:ascii="Arial" w:eastAsia="仿宋_GB2312" w:hAnsi="Arial" w:cs="Arial" w:hint="eastAsia"/>
          <w:sz w:val="32"/>
          <w:szCs w:val="32"/>
        </w:rPr>
        <w:t>、专家</w:t>
      </w:r>
      <w:r>
        <w:rPr>
          <w:rFonts w:ascii="Arial" w:eastAsia="仿宋_GB2312" w:hAnsi="Arial" w:cs="Arial"/>
          <w:sz w:val="32"/>
          <w:szCs w:val="32"/>
        </w:rPr>
        <w:t>访谈估测权利人产品在未遭受侵权情形下的合理价格水平。</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第二十</w:t>
      </w:r>
      <w:r>
        <w:rPr>
          <w:rFonts w:ascii="Arial" w:eastAsia="仿宋_GB2312" w:hAnsi="Arial" w:cs="Arial" w:hint="eastAsia"/>
          <w:b/>
          <w:bCs/>
          <w:sz w:val="32"/>
          <w:szCs w:val="32"/>
        </w:rPr>
        <w:t>一</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侵权对权利人成本费用的影响主要是指与</w:t>
      </w:r>
      <w:r>
        <w:rPr>
          <w:rFonts w:ascii="Arial" w:eastAsia="仿宋_GB2312" w:hAnsi="Arial" w:cs="Arial" w:hint="eastAsia"/>
          <w:sz w:val="32"/>
          <w:szCs w:val="32"/>
        </w:rPr>
        <w:t>产品收益</w:t>
      </w:r>
      <w:r>
        <w:rPr>
          <w:rFonts w:ascii="Arial" w:eastAsia="仿宋_GB2312" w:hAnsi="Arial" w:cs="Arial"/>
          <w:sz w:val="32"/>
          <w:szCs w:val="32"/>
        </w:rPr>
        <w:t>直接相关的涉案知识产权产品营业成本、管理费用、销售费用、研发费用等在侵权前后的变化，可以通过涉案知识产权产品在未遭受侵权时的</w:t>
      </w:r>
      <w:r>
        <w:rPr>
          <w:rFonts w:ascii="Arial" w:eastAsia="仿宋_GB2312" w:hAnsi="Arial" w:cs="Arial" w:hint="eastAsia"/>
          <w:sz w:val="32"/>
          <w:szCs w:val="32"/>
        </w:rPr>
        <w:t>收益</w:t>
      </w:r>
      <w:r>
        <w:rPr>
          <w:rFonts w:ascii="Arial" w:eastAsia="仿宋_GB2312" w:hAnsi="Arial" w:cs="Arial"/>
          <w:sz w:val="32"/>
          <w:szCs w:val="32"/>
        </w:rPr>
        <w:t>占销售收入的比例或市场同类</w:t>
      </w:r>
      <w:r>
        <w:rPr>
          <w:rFonts w:ascii="Arial" w:eastAsia="仿宋_GB2312" w:hAnsi="Arial" w:cs="Arial" w:hint="eastAsia"/>
          <w:sz w:val="32"/>
          <w:szCs w:val="32"/>
        </w:rPr>
        <w:t>或</w:t>
      </w:r>
      <w:r>
        <w:rPr>
          <w:rFonts w:ascii="Arial" w:eastAsia="仿宋_GB2312" w:hAnsi="Arial" w:cs="Arial"/>
          <w:sz w:val="32"/>
          <w:szCs w:val="32"/>
        </w:rPr>
        <w:t>相似产品的</w:t>
      </w:r>
      <w:r>
        <w:rPr>
          <w:rFonts w:ascii="Arial" w:eastAsia="仿宋_GB2312" w:hAnsi="Arial" w:cs="Arial" w:hint="eastAsia"/>
          <w:sz w:val="32"/>
          <w:szCs w:val="32"/>
        </w:rPr>
        <w:t>收益</w:t>
      </w:r>
      <w:r>
        <w:rPr>
          <w:rFonts w:ascii="Arial" w:eastAsia="仿宋_GB2312" w:hAnsi="Arial" w:cs="Arial"/>
          <w:sz w:val="32"/>
          <w:szCs w:val="32"/>
        </w:rPr>
        <w:t>占销售收入的比例推算出权利人在侵权期间未遭受侵权假设情形下的</w:t>
      </w:r>
      <w:r>
        <w:rPr>
          <w:rFonts w:ascii="Arial" w:eastAsia="仿宋_GB2312" w:hAnsi="Arial" w:cs="Arial" w:hint="eastAsia"/>
          <w:sz w:val="32"/>
          <w:szCs w:val="32"/>
        </w:rPr>
        <w:t>预计</w:t>
      </w:r>
      <w:r>
        <w:rPr>
          <w:rFonts w:ascii="Arial" w:eastAsia="仿宋_GB2312" w:hAnsi="Arial" w:cs="Arial"/>
          <w:sz w:val="32"/>
          <w:szCs w:val="32"/>
        </w:rPr>
        <w:t>成本费用金额。</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第二十</w:t>
      </w:r>
      <w:r>
        <w:rPr>
          <w:rFonts w:ascii="Arial" w:eastAsia="仿宋_GB2312" w:hAnsi="Arial" w:cs="Arial" w:hint="eastAsia"/>
          <w:b/>
          <w:bCs/>
          <w:sz w:val="32"/>
          <w:szCs w:val="32"/>
        </w:rPr>
        <w:t>二</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侵权获利法是以侵权人因侵权所获得的利益总额确定侵权损害金额的方法，用公式可以表示为：</w:t>
      </w:r>
    </w:p>
    <w:p w:rsidR="0028646B" w:rsidRDefault="0068618A">
      <w:pPr>
        <w:spacing w:line="578" w:lineRule="exact"/>
        <w:jc w:val="center"/>
        <w:rPr>
          <w:rFonts w:ascii="Cambria Math" w:eastAsia="仿宋_GB2312" w:hAnsi="Cambria Math" w:cs="Arial"/>
          <w:sz w:val="32"/>
          <w:szCs w:val="32"/>
        </w:rPr>
      </w:pPr>
      <m:oMathPara>
        <m:oMath>
          <m:r>
            <m:rPr>
              <m:sty m:val="p"/>
            </m:rPr>
            <w:rPr>
              <w:rFonts w:ascii="Cambria Math" w:eastAsia="仿宋_GB2312" w:hAnsi="Cambria Math" w:cs="Arial"/>
              <w:sz w:val="32"/>
              <w:szCs w:val="32"/>
            </w:rPr>
            <m:t>侵权损害金额</m:t>
          </m:r>
          <m:r>
            <m:rPr>
              <m:sty m:val="p"/>
            </m:rPr>
            <w:rPr>
              <w:rFonts w:ascii="Cambria Math" w:eastAsia="仿宋_GB2312" w:hAnsi="Cambria Math" w:cs="Arial"/>
              <w:sz w:val="32"/>
              <w:szCs w:val="32"/>
            </w:rPr>
            <m:t>=</m:t>
          </m:r>
          <m:nary>
            <m:naryPr>
              <m:chr m:val="∑"/>
              <m:limLoc m:val="subSup"/>
              <m:ctrlPr>
                <w:rPr>
                  <w:rFonts w:ascii="Cambria Math" w:eastAsia="仿宋_GB2312" w:hAnsi="Cambria Math" w:cs="Arial"/>
                  <w:sz w:val="32"/>
                  <w:szCs w:val="32"/>
                </w:rPr>
              </m:ctrlPr>
            </m:naryPr>
            <m:sub>
              <m:r>
                <w:rPr>
                  <w:rFonts w:ascii="Cambria Math" w:eastAsia="仿宋_GB2312" w:hAnsi="Cambria Math" w:cs="Arial"/>
                  <w:sz w:val="32"/>
                  <w:szCs w:val="32"/>
                </w:rPr>
                <m:t>i</m:t>
              </m:r>
            </m:sub>
            <m:sup>
              <m:r>
                <w:rPr>
                  <w:rFonts w:ascii="Cambria Math" w:eastAsia="仿宋_GB2312" w:hAnsi="Cambria Math" w:cs="Arial"/>
                  <w:sz w:val="32"/>
                  <w:szCs w:val="32"/>
                </w:rPr>
                <m:t>n</m:t>
              </m:r>
            </m:sup>
            <m:e>
              <m:r>
                <m:rPr>
                  <m:sty m:val="p"/>
                </m:rPr>
                <w:rPr>
                  <w:rFonts w:ascii="Cambria Math" w:eastAsia="仿宋_GB2312" w:hAnsi="Cambria Math" w:cs="Arial" w:hint="eastAsia"/>
                  <w:sz w:val="32"/>
                  <w:szCs w:val="32"/>
                </w:rPr>
                <m:t>侵权获利</m:t>
              </m:r>
            </m:e>
          </m:nary>
        </m:oMath>
      </m:oMathPara>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同样地，当侵权时间较长，公式中的侵权获利还需要考虑时间价值的影响。</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lastRenderedPageBreak/>
        <w:t>第二十</w:t>
      </w:r>
      <w:r>
        <w:rPr>
          <w:rFonts w:ascii="Arial" w:eastAsia="仿宋_GB2312" w:hAnsi="Arial" w:cs="Arial" w:hint="eastAsia"/>
          <w:b/>
          <w:bCs/>
          <w:sz w:val="32"/>
          <w:szCs w:val="32"/>
        </w:rPr>
        <w:t>三</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若侵权人在侵权之前没有涉案知识产权相关产品，则侵权人从侵权行为中获得的利益可以用侵权产品总销量乘以每件侵权产品的合理利润所得之积计算，但需要考虑涉案知识产权在侵权获利中所贡献的比例；若侵权人在侵权之前已有相关产品销售，侵权人从侵权行为中获得的利益应是侵权人</w:t>
      </w:r>
      <w:r>
        <w:rPr>
          <w:rFonts w:ascii="Arial" w:eastAsia="仿宋_GB2312" w:hAnsi="Arial" w:cs="Arial" w:hint="eastAsia"/>
          <w:sz w:val="32"/>
          <w:szCs w:val="32"/>
        </w:rPr>
        <w:t>在</w:t>
      </w:r>
      <w:r>
        <w:rPr>
          <w:rFonts w:ascii="Arial" w:eastAsia="仿宋_GB2312" w:hAnsi="Arial" w:cs="Arial"/>
          <w:sz w:val="32"/>
          <w:szCs w:val="32"/>
        </w:rPr>
        <w:t>侵权前后的收益变化，可以参照侵权损失法分析侵权行为对侵权人产品销量、价格以及成本费用的影响。</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第二十</w:t>
      </w:r>
      <w:r>
        <w:rPr>
          <w:rFonts w:ascii="Arial" w:eastAsia="仿宋_GB2312" w:hAnsi="Arial" w:cs="Arial" w:hint="eastAsia"/>
          <w:b/>
          <w:bCs/>
          <w:sz w:val="32"/>
          <w:szCs w:val="32"/>
        </w:rPr>
        <w:t>四</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合理许可费法是以知识产权许可费</w:t>
      </w:r>
      <w:r>
        <w:rPr>
          <w:rFonts w:ascii="Arial" w:eastAsia="仿宋_GB2312" w:hAnsi="Arial" w:cs="Arial" w:hint="eastAsia"/>
          <w:sz w:val="32"/>
          <w:szCs w:val="32"/>
        </w:rPr>
        <w:t>的合理倍数</w:t>
      </w:r>
      <w:r>
        <w:rPr>
          <w:rFonts w:ascii="Arial" w:eastAsia="仿宋_GB2312" w:hAnsi="Arial" w:cs="Arial"/>
          <w:sz w:val="32"/>
          <w:szCs w:val="32"/>
        </w:rPr>
        <w:t>确定侵权损害数额的方法。采用合理许可费法确定侵权损害时，</w:t>
      </w:r>
      <w:r>
        <w:rPr>
          <w:rFonts w:ascii="Arial" w:eastAsia="仿宋_GB2312" w:hAnsi="Arial" w:cs="Arial" w:hint="eastAsia"/>
          <w:sz w:val="32"/>
          <w:szCs w:val="32"/>
        </w:rPr>
        <w:t>需</w:t>
      </w:r>
      <w:r>
        <w:rPr>
          <w:rFonts w:ascii="Arial" w:eastAsia="仿宋_GB2312" w:hAnsi="Arial" w:cs="Arial"/>
          <w:sz w:val="32"/>
          <w:szCs w:val="32"/>
        </w:rPr>
        <w:t>要重点关注对许可费合理性的判断，合理许可费的常见确定方法有可比参照法、假想协商法和分析法等。</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第二十</w:t>
      </w:r>
      <w:r>
        <w:rPr>
          <w:rFonts w:ascii="Arial" w:eastAsia="仿宋_GB2312" w:hAnsi="Arial" w:cs="Arial" w:hint="eastAsia"/>
          <w:b/>
          <w:bCs/>
          <w:sz w:val="32"/>
          <w:szCs w:val="32"/>
        </w:rPr>
        <w:t>五</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hint="eastAsia"/>
          <w:sz w:val="32"/>
          <w:szCs w:val="32"/>
        </w:rPr>
        <w:t>可比参照法是以可比参照物的许可费确定权利人的知识产权合理许可费的一种方法。</w:t>
      </w:r>
      <w:r>
        <w:rPr>
          <w:rFonts w:ascii="Arial" w:eastAsia="仿宋_GB2312" w:hAnsi="Arial" w:cs="Arial"/>
          <w:sz w:val="32"/>
          <w:szCs w:val="32"/>
        </w:rPr>
        <w:t>采用可比参照法确定合理许可费有两种途径，一种是权利人与他人签订许可使用协议中约定的许可费，另一种是同类知识产权的许可费。无论采取哪种途径，都</w:t>
      </w:r>
      <w:r>
        <w:rPr>
          <w:rFonts w:ascii="Arial" w:eastAsia="仿宋_GB2312" w:hAnsi="Arial" w:cs="Arial" w:hint="eastAsia"/>
          <w:sz w:val="32"/>
          <w:szCs w:val="32"/>
        </w:rPr>
        <w:t>需</w:t>
      </w:r>
      <w:r>
        <w:rPr>
          <w:rFonts w:ascii="Arial" w:eastAsia="仿宋_GB2312" w:hAnsi="Arial" w:cs="Arial"/>
          <w:sz w:val="32"/>
          <w:szCs w:val="32"/>
        </w:rPr>
        <w:t>要对所参照许可费的合理性</w:t>
      </w:r>
      <w:r>
        <w:rPr>
          <w:rFonts w:ascii="Arial" w:eastAsia="仿宋_GB2312" w:hAnsi="Arial" w:cs="Arial" w:hint="eastAsia"/>
          <w:sz w:val="32"/>
          <w:szCs w:val="32"/>
        </w:rPr>
        <w:t>进行恰当</w:t>
      </w:r>
      <w:r>
        <w:rPr>
          <w:rFonts w:ascii="Arial" w:eastAsia="仿宋_GB2312" w:hAnsi="Arial" w:cs="Arial"/>
          <w:sz w:val="32"/>
          <w:szCs w:val="32"/>
        </w:rPr>
        <w:t>分析，并结合许可使用与侵权使用在时间、地域等方面的差异性，合理确定侵权损害数额。</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第二十</w:t>
      </w:r>
      <w:r>
        <w:rPr>
          <w:rFonts w:ascii="Arial" w:eastAsia="仿宋_GB2312" w:hAnsi="Arial" w:cs="Arial" w:hint="eastAsia"/>
          <w:b/>
          <w:bCs/>
          <w:sz w:val="32"/>
          <w:szCs w:val="32"/>
        </w:rPr>
        <w:t>六</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假想协商法是假定在一个虚拟的谈判环境下，有意愿的权利人与有意愿的侵权人经过协商之后得出合理许可费</w:t>
      </w:r>
      <w:r>
        <w:rPr>
          <w:rFonts w:ascii="Arial" w:eastAsia="仿宋_GB2312" w:hAnsi="Arial" w:cs="Arial" w:hint="eastAsia"/>
          <w:sz w:val="32"/>
          <w:szCs w:val="32"/>
        </w:rPr>
        <w:t>的一种方法</w:t>
      </w:r>
      <w:r>
        <w:rPr>
          <w:rFonts w:ascii="Arial" w:eastAsia="仿宋_GB2312" w:hAnsi="Arial" w:cs="Arial"/>
          <w:sz w:val="32"/>
          <w:szCs w:val="32"/>
        </w:rPr>
        <w:t>。采用假想协商法确定合理许可费，</w:t>
      </w:r>
      <w:r>
        <w:rPr>
          <w:rFonts w:ascii="Arial" w:eastAsia="仿宋_GB2312" w:hAnsi="Arial" w:cs="Arial" w:hint="eastAsia"/>
          <w:sz w:val="32"/>
          <w:szCs w:val="32"/>
        </w:rPr>
        <w:t>需</w:t>
      </w:r>
      <w:r>
        <w:rPr>
          <w:rFonts w:ascii="Arial" w:eastAsia="仿宋_GB2312" w:hAnsi="Arial" w:cs="Arial"/>
          <w:sz w:val="32"/>
          <w:szCs w:val="32"/>
        </w:rPr>
        <w:t>要充分考虑假设谈判日期及双方的谈判能力、知识产权获利能力、许可性质、</w:t>
      </w:r>
      <w:r>
        <w:rPr>
          <w:rFonts w:ascii="Arial" w:eastAsia="仿宋_GB2312" w:hAnsi="Arial" w:cs="Arial"/>
          <w:sz w:val="32"/>
          <w:szCs w:val="32"/>
        </w:rPr>
        <w:lastRenderedPageBreak/>
        <w:t>有效期与许可期限、侵权程度等因素对确定合理许可费的影响。</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第二十</w:t>
      </w:r>
      <w:r>
        <w:rPr>
          <w:rFonts w:ascii="Arial" w:eastAsia="仿宋_GB2312" w:hAnsi="Arial" w:cs="Arial" w:hint="eastAsia"/>
          <w:b/>
          <w:bCs/>
          <w:sz w:val="32"/>
          <w:szCs w:val="32"/>
        </w:rPr>
        <w:t>七</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分析法是通过比较侵权产品的</w:t>
      </w:r>
      <w:r>
        <w:rPr>
          <w:rFonts w:ascii="Arial" w:eastAsia="仿宋_GB2312" w:hAnsi="Arial" w:cs="Arial" w:hint="eastAsia"/>
          <w:sz w:val="32"/>
          <w:szCs w:val="32"/>
        </w:rPr>
        <w:t>预计毛</w:t>
      </w:r>
      <w:r>
        <w:rPr>
          <w:rFonts w:ascii="Arial" w:eastAsia="仿宋_GB2312" w:hAnsi="Arial" w:cs="Arial"/>
          <w:sz w:val="32"/>
          <w:szCs w:val="32"/>
        </w:rPr>
        <w:t>利润</w:t>
      </w:r>
      <w:r>
        <w:rPr>
          <w:rFonts w:ascii="Arial" w:eastAsia="仿宋_GB2312" w:hAnsi="Arial" w:cs="Arial" w:hint="eastAsia"/>
          <w:sz w:val="32"/>
          <w:szCs w:val="32"/>
        </w:rPr>
        <w:t>水平</w:t>
      </w:r>
      <w:r>
        <w:rPr>
          <w:rFonts w:ascii="Arial" w:eastAsia="仿宋_GB2312" w:hAnsi="Arial" w:cs="Arial"/>
          <w:sz w:val="32"/>
          <w:szCs w:val="32"/>
        </w:rPr>
        <w:t>与行业平均</w:t>
      </w:r>
      <w:r>
        <w:rPr>
          <w:rFonts w:ascii="Arial" w:eastAsia="仿宋_GB2312" w:hAnsi="Arial" w:cs="Arial" w:hint="eastAsia"/>
          <w:sz w:val="32"/>
          <w:szCs w:val="32"/>
        </w:rPr>
        <w:t>毛</w:t>
      </w:r>
      <w:r>
        <w:rPr>
          <w:rFonts w:ascii="Arial" w:eastAsia="仿宋_GB2312" w:hAnsi="Arial" w:cs="Arial"/>
          <w:sz w:val="32"/>
          <w:szCs w:val="32"/>
        </w:rPr>
        <w:t>利润水平之间的差异，以此确定合理许可费率</w:t>
      </w:r>
      <w:r>
        <w:rPr>
          <w:rFonts w:ascii="Arial" w:eastAsia="仿宋_GB2312" w:hAnsi="Arial" w:cs="Arial" w:hint="eastAsia"/>
          <w:sz w:val="32"/>
          <w:szCs w:val="32"/>
        </w:rPr>
        <w:t>的一种方法</w:t>
      </w:r>
      <w:r>
        <w:rPr>
          <w:rFonts w:ascii="Arial" w:eastAsia="仿宋_GB2312" w:hAnsi="Arial" w:cs="Arial"/>
          <w:sz w:val="32"/>
          <w:szCs w:val="32"/>
        </w:rPr>
        <w:t>。采用分析法确定合理许可费，关键在于确定合理的行业平均利润率，</w:t>
      </w:r>
      <w:r>
        <w:rPr>
          <w:rFonts w:ascii="Arial" w:eastAsia="仿宋_GB2312" w:hAnsi="Arial" w:cs="Arial" w:hint="eastAsia"/>
          <w:sz w:val="32"/>
          <w:szCs w:val="32"/>
        </w:rPr>
        <w:t>可以</w:t>
      </w:r>
      <w:r>
        <w:rPr>
          <w:rFonts w:ascii="Arial" w:eastAsia="仿宋_GB2312" w:hAnsi="Arial" w:cs="Arial"/>
          <w:sz w:val="32"/>
          <w:szCs w:val="32"/>
        </w:rPr>
        <w:t>选择算术平均或行业总利润除以行业总销售额的方法进行</w:t>
      </w:r>
      <w:r>
        <w:rPr>
          <w:rFonts w:ascii="Arial" w:eastAsia="仿宋_GB2312" w:hAnsi="Arial" w:cs="Arial" w:hint="eastAsia"/>
          <w:sz w:val="32"/>
          <w:szCs w:val="32"/>
        </w:rPr>
        <w:t>合理</w:t>
      </w:r>
      <w:r>
        <w:rPr>
          <w:rFonts w:ascii="Arial" w:eastAsia="仿宋_GB2312" w:hAnsi="Arial" w:cs="Arial"/>
          <w:sz w:val="32"/>
          <w:szCs w:val="32"/>
        </w:rPr>
        <w:t>测算</w:t>
      </w:r>
      <w:r>
        <w:rPr>
          <w:rFonts w:ascii="Arial" w:eastAsia="仿宋_GB2312" w:hAnsi="Arial" w:cs="Arial" w:hint="eastAsia"/>
          <w:sz w:val="32"/>
          <w:szCs w:val="32"/>
        </w:rPr>
        <w:t>，也可以利用相关政府部门或行业协会公布的数据、独立第三方机构发布的研究数据等进行综合分析后确定。</w:t>
      </w:r>
    </w:p>
    <w:p w:rsidR="0028646B" w:rsidRDefault="0068618A">
      <w:pPr>
        <w:spacing w:beforeLines="100" w:before="579" w:afterLines="100" w:after="579" w:line="578" w:lineRule="exact"/>
        <w:jc w:val="center"/>
        <w:outlineLvl w:val="1"/>
        <w:rPr>
          <w:rFonts w:ascii="Arial" w:eastAsia="黑体" w:hAnsi="Arial" w:cs="Arial"/>
          <w:sz w:val="32"/>
          <w:szCs w:val="32"/>
        </w:rPr>
      </w:pPr>
      <w:r>
        <w:rPr>
          <w:rFonts w:ascii="Arial" w:eastAsia="黑体" w:hAnsi="Arial" w:cs="Arial"/>
          <w:sz w:val="32"/>
          <w:szCs w:val="32"/>
        </w:rPr>
        <w:t>第五章</w:t>
      </w:r>
      <w:r>
        <w:rPr>
          <w:rFonts w:ascii="Arial" w:eastAsia="黑体" w:hAnsi="Arial" w:cs="Arial"/>
          <w:sz w:val="32"/>
          <w:szCs w:val="32"/>
        </w:rPr>
        <w:t xml:space="preserve"> </w:t>
      </w:r>
      <w:r>
        <w:rPr>
          <w:rFonts w:ascii="Arial" w:eastAsia="黑体" w:hAnsi="Arial" w:cs="Arial"/>
          <w:sz w:val="32"/>
          <w:szCs w:val="32"/>
        </w:rPr>
        <w:t>披露要求</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二十八</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编制知识产权侵权损害</w:t>
      </w:r>
      <w:r>
        <w:rPr>
          <w:rFonts w:ascii="Arial" w:eastAsia="仿宋_GB2312" w:hAnsi="Arial" w:cs="Arial" w:hint="eastAsia"/>
          <w:sz w:val="32"/>
          <w:szCs w:val="32"/>
        </w:rPr>
        <w:t>资产</w:t>
      </w:r>
      <w:r>
        <w:rPr>
          <w:rFonts w:ascii="Arial" w:eastAsia="仿宋_GB2312" w:hAnsi="Arial" w:cs="Arial"/>
          <w:sz w:val="32"/>
          <w:szCs w:val="32"/>
        </w:rPr>
        <w:t>评估报告</w:t>
      </w:r>
      <w:r>
        <w:rPr>
          <w:rFonts w:ascii="Arial" w:eastAsia="仿宋_GB2312" w:hAnsi="Arial" w:cs="Arial" w:hint="eastAsia"/>
          <w:sz w:val="32"/>
          <w:szCs w:val="32"/>
        </w:rPr>
        <w:t>需要披露形成评估结论的相关内容</w:t>
      </w:r>
      <w:r>
        <w:rPr>
          <w:rFonts w:ascii="Arial" w:eastAsia="仿宋_GB2312" w:hAnsi="Arial" w:cs="Arial"/>
          <w:sz w:val="32"/>
          <w:szCs w:val="32"/>
        </w:rPr>
        <w:t>，通常包括：</w:t>
      </w:r>
    </w:p>
    <w:p w:rsidR="0028646B" w:rsidRDefault="0068618A">
      <w:pPr>
        <w:spacing w:line="578" w:lineRule="exact"/>
        <w:ind w:firstLine="640"/>
        <w:rPr>
          <w:rFonts w:ascii="Arial" w:eastAsia="仿宋_GB2312" w:hAnsi="Arial" w:cs="Arial"/>
          <w:sz w:val="32"/>
          <w:szCs w:val="32"/>
        </w:rPr>
      </w:pPr>
      <w:r>
        <w:rPr>
          <w:rFonts w:ascii="Arial" w:eastAsia="仿宋_GB2312" w:hAnsi="Arial" w:cs="Arial"/>
          <w:sz w:val="32"/>
          <w:szCs w:val="32"/>
        </w:rPr>
        <w:t>（一）</w:t>
      </w:r>
      <w:r>
        <w:rPr>
          <w:rFonts w:ascii="Arial" w:eastAsia="仿宋_GB2312" w:hAnsi="Arial" w:cs="Arial" w:hint="eastAsia"/>
          <w:sz w:val="32"/>
          <w:szCs w:val="32"/>
        </w:rPr>
        <w:t>涉案</w:t>
      </w:r>
      <w:r>
        <w:rPr>
          <w:rFonts w:ascii="Arial" w:eastAsia="仿宋_GB2312" w:hAnsi="Arial" w:cs="Arial"/>
          <w:sz w:val="32"/>
          <w:szCs w:val="32"/>
        </w:rPr>
        <w:t>知识产权资产</w:t>
      </w:r>
      <w:r>
        <w:rPr>
          <w:rFonts w:ascii="Arial" w:eastAsia="仿宋_GB2312" w:hAnsi="Arial" w:cs="Arial" w:hint="eastAsia"/>
          <w:sz w:val="32"/>
          <w:szCs w:val="32"/>
        </w:rPr>
        <w:t>及</w:t>
      </w:r>
      <w:r>
        <w:rPr>
          <w:rFonts w:ascii="Arial" w:eastAsia="仿宋_GB2312" w:hAnsi="Arial" w:cs="Arial"/>
          <w:sz w:val="32"/>
          <w:szCs w:val="32"/>
        </w:rPr>
        <w:t>侵权案件</w:t>
      </w:r>
      <w:r>
        <w:rPr>
          <w:rFonts w:ascii="Arial" w:eastAsia="仿宋_GB2312" w:hAnsi="Arial" w:cs="Arial" w:hint="eastAsia"/>
          <w:sz w:val="32"/>
          <w:szCs w:val="32"/>
        </w:rPr>
        <w:t>的</w:t>
      </w:r>
      <w:r>
        <w:rPr>
          <w:rFonts w:ascii="Arial" w:eastAsia="仿宋_GB2312" w:hAnsi="Arial" w:cs="Arial"/>
          <w:sz w:val="32"/>
          <w:szCs w:val="32"/>
        </w:rPr>
        <w:t>基本信息；</w:t>
      </w:r>
    </w:p>
    <w:p w:rsidR="0028646B" w:rsidRDefault="0068618A">
      <w:pPr>
        <w:spacing w:line="578" w:lineRule="exact"/>
        <w:ind w:firstLine="640"/>
        <w:rPr>
          <w:rFonts w:ascii="Arial" w:eastAsia="仿宋_GB2312" w:hAnsi="Arial" w:cs="Arial"/>
          <w:sz w:val="32"/>
          <w:szCs w:val="32"/>
        </w:rPr>
      </w:pPr>
      <w:r>
        <w:rPr>
          <w:rFonts w:ascii="Arial" w:eastAsia="仿宋_GB2312" w:hAnsi="Arial" w:cs="Arial"/>
          <w:sz w:val="32"/>
          <w:szCs w:val="32"/>
        </w:rPr>
        <w:t>（二）</w:t>
      </w:r>
      <w:r>
        <w:rPr>
          <w:rFonts w:ascii="Arial" w:eastAsia="仿宋_GB2312" w:hAnsi="Arial" w:cs="Arial" w:hint="eastAsia"/>
          <w:sz w:val="32"/>
          <w:szCs w:val="32"/>
        </w:rPr>
        <w:t>委托人与相关当事人对</w:t>
      </w:r>
      <w:r>
        <w:rPr>
          <w:rFonts w:ascii="Arial" w:eastAsia="仿宋_GB2312" w:hAnsi="Arial" w:cs="Arial"/>
          <w:sz w:val="32"/>
          <w:szCs w:val="32"/>
        </w:rPr>
        <w:t>侵权损害期间</w:t>
      </w:r>
      <w:r>
        <w:rPr>
          <w:rFonts w:ascii="Arial" w:eastAsia="仿宋_GB2312" w:hAnsi="Arial" w:cs="Arial" w:hint="eastAsia"/>
          <w:sz w:val="32"/>
          <w:szCs w:val="32"/>
        </w:rPr>
        <w:t>、损害范围</w:t>
      </w:r>
      <w:r>
        <w:rPr>
          <w:rFonts w:ascii="Arial" w:eastAsia="仿宋_GB2312" w:hAnsi="Arial" w:cs="Arial"/>
          <w:sz w:val="32"/>
          <w:szCs w:val="32"/>
        </w:rPr>
        <w:t>的确定过程；</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（三）侵权损害评估方法的选择及其理由；</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（四）评估所用财务数据的来源，以及侵权损害测算的过程；</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（五）对测算结果进行分析，形成评估结论的过程；</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（六）评估结论成立的假设前提和限制条件；</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（七）可能影响评估结论的特别事项。</w:t>
      </w:r>
    </w:p>
    <w:p w:rsidR="0028646B" w:rsidRDefault="0068618A" w:rsidP="00783E27">
      <w:pPr>
        <w:spacing w:line="578" w:lineRule="exact"/>
        <w:ind w:firstLineChars="200" w:firstLine="633"/>
        <w:rPr>
          <w:rFonts w:ascii="Arial" w:eastAsia="仿宋_GB2312" w:hAnsi="Arial" w:cs="Arial"/>
          <w:sz w:val="32"/>
          <w:szCs w:val="32"/>
        </w:rPr>
      </w:pPr>
      <w:r>
        <w:rPr>
          <w:rFonts w:ascii="Arial" w:eastAsia="仿宋_GB2312" w:hAnsi="Arial" w:cs="Arial"/>
          <w:b/>
          <w:bCs/>
          <w:sz w:val="32"/>
          <w:szCs w:val="32"/>
        </w:rPr>
        <w:t>第</w:t>
      </w:r>
      <w:r>
        <w:rPr>
          <w:rFonts w:ascii="Arial" w:eastAsia="仿宋_GB2312" w:hAnsi="Arial" w:cs="Arial" w:hint="eastAsia"/>
          <w:b/>
          <w:bCs/>
          <w:sz w:val="32"/>
          <w:szCs w:val="32"/>
        </w:rPr>
        <w:t>二十九</w:t>
      </w:r>
      <w:r>
        <w:rPr>
          <w:rFonts w:ascii="Arial" w:eastAsia="仿宋_GB2312" w:hAnsi="Arial" w:cs="Arial"/>
          <w:b/>
          <w:bCs/>
          <w:sz w:val="32"/>
          <w:szCs w:val="32"/>
        </w:rPr>
        <w:t>条</w:t>
      </w:r>
      <w:r>
        <w:rPr>
          <w:rFonts w:ascii="Arial" w:eastAsia="仿宋_GB2312" w:hAnsi="Arial" w:cs="Arial"/>
          <w:sz w:val="32"/>
          <w:szCs w:val="32"/>
        </w:rPr>
        <w:t xml:space="preserve">  </w:t>
      </w:r>
      <w:r>
        <w:rPr>
          <w:rFonts w:ascii="Arial" w:eastAsia="仿宋_GB2312" w:hAnsi="Arial" w:cs="Arial"/>
          <w:sz w:val="32"/>
          <w:szCs w:val="32"/>
        </w:rPr>
        <w:t>编制知识产权侵权损害</w:t>
      </w:r>
      <w:r>
        <w:rPr>
          <w:rFonts w:ascii="Arial" w:eastAsia="仿宋_GB2312" w:hAnsi="Arial" w:cs="Arial" w:hint="eastAsia"/>
          <w:sz w:val="32"/>
          <w:szCs w:val="32"/>
        </w:rPr>
        <w:t>资产</w:t>
      </w:r>
      <w:r>
        <w:rPr>
          <w:rFonts w:ascii="Arial" w:eastAsia="仿宋_GB2312" w:hAnsi="Arial" w:cs="Arial"/>
          <w:sz w:val="32"/>
          <w:szCs w:val="32"/>
        </w:rPr>
        <w:t>评估报告，</w:t>
      </w:r>
      <w:r>
        <w:rPr>
          <w:rFonts w:ascii="Arial" w:eastAsia="仿宋_GB2312" w:hAnsi="Arial" w:cs="Arial" w:hint="eastAsia"/>
          <w:sz w:val="32"/>
          <w:szCs w:val="32"/>
        </w:rPr>
        <w:t>需要</w:t>
      </w:r>
      <w:r>
        <w:rPr>
          <w:rFonts w:ascii="Arial" w:eastAsia="仿宋_GB2312" w:hAnsi="Arial" w:cs="Arial"/>
          <w:sz w:val="32"/>
          <w:szCs w:val="32"/>
        </w:rPr>
        <w:t>对</w:t>
      </w:r>
      <w:r>
        <w:rPr>
          <w:rFonts w:ascii="Arial" w:eastAsia="仿宋_GB2312" w:hAnsi="Arial" w:cs="Arial"/>
          <w:sz w:val="32"/>
          <w:szCs w:val="32"/>
        </w:rPr>
        <w:lastRenderedPageBreak/>
        <w:t>以下内容进行重点披露和说明：</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w:t>
      </w:r>
      <w:r>
        <w:rPr>
          <w:rFonts w:ascii="Arial" w:eastAsia="仿宋_GB2312" w:hAnsi="Arial" w:cs="Arial" w:hint="eastAsia"/>
          <w:sz w:val="32"/>
          <w:szCs w:val="32"/>
        </w:rPr>
        <w:t>一</w:t>
      </w:r>
      <w:r>
        <w:rPr>
          <w:rFonts w:ascii="Arial" w:eastAsia="仿宋_GB2312" w:hAnsi="Arial" w:cs="Arial"/>
          <w:sz w:val="32"/>
          <w:szCs w:val="32"/>
        </w:rPr>
        <w:t>）侵权案件当事人双方的相关信息，包括经营历史、现状及对涉案知识产权的利用情况；</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w:t>
      </w:r>
      <w:r>
        <w:rPr>
          <w:rFonts w:ascii="Arial" w:eastAsia="仿宋_GB2312" w:hAnsi="Arial" w:cs="Arial" w:hint="eastAsia"/>
          <w:sz w:val="32"/>
          <w:szCs w:val="32"/>
        </w:rPr>
        <w:t>二</w:t>
      </w:r>
      <w:r>
        <w:rPr>
          <w:rFonts w:ascii="Arial" w:eastAsia="仿宋_GB2312" w:hAnsi="Arial" w:cs="Arial"/>
          <w:sz w:val="32"/>
          <w:szCs w:val="32"/>
        </w:rPr>
        <w:t>）涉案知识产权与其他相关经济利益主体的利益分配情况；</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w:t>
      </w:r>
      <w:r>
        <w:rPr>
          <w:rFonts w:ascii="Arial" w:eastAsia="仿宋_GB2312" w:hAnsi="Arial" w:cs="Arial" w:hint="eastAsia"/>
          <w:sz w:val="32"/>
          <w:szCs w:val="32"/>
        </w:rPr>
        <w:t>三</w:t>
      </w:r>
      <w:r>
        <w:rPr>
          <w:rFonts w:ascii="Arial" w:eastAsia="仿宋_GB2312" w:hAnsi="Arial" w:cs="Arial"/>
          <w:sz w:val="32"/>
          <w:szCs w:val="32"/>
        </w:rPr>
        <w:t>）</w:t>
      </w:r>
      <w:r>
        <w:rPr>
          <w:rFonts w:ascii="Arial" w:eastAsia="仿宋_GB2312" w:hAnsi="Arial" w:cs="Arial" w:hint="eastAsia"/>
          <w:sz w:val="32"/>
          <w:szCs w:val="32"/>
        </w:rPr>
        <w:t>是否进行了现场调查，以及</w:t>
      </w:r>
      <w:r>
        <w:rPr>
          <w:rFonts w:ascii="Arial" w:eastAsia="仿宋_GB2312" w:hAnsi="Arial" w:cs="Arial"/>
          <w:sz w:val="32"/>
          <w:szCs w:val="32"/>
        </w:rPr>
        <w:t>现场调查和资料收集过程中相关当事人的配合情况；</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sz w:val="32"/>
          <w:szCs w:val="32"/>
        </w:rPr>
        <w:t>（</w:t>
      </w:r>
      <w:r>
        <w:rPr>
          <w:rFonts w:ascii="Arial" w:eastAsia="仿宋_GB2312" w:hAnsi="Arial" w:cs="Arial" w:hint="eastAsia"/>
          <w:sz w:val="32"/>
          <w:szCs w:val="32"/>
        </w:rPr>
        <w:t>四</w:t>
      </w:r>
      <w:r>
        <w:rPr>
          <w:rFonts w:ascii="Arial" w:eastAsia="仿宋_GB2312" w:hAnsi="Arial" w:cs="Arial"/>
          <w:sz w:val="32"/>
          <w:szCs w:val="32"/>
        </w:rPr>
        <w:t>）</w:t>
      </w:r>
      <w:r>
        <w:rPr>
          <w:rFonts w:ascii="Arial" w:eastAsia="仿宋_GB2312" w:hAnsi="Arial" w:cs="Arial" w:hint="eastAsia"/>
          <w:sz w:val="32"/>
          <w:szCs w:val="32"/>
        </w:rPr>
        <w:t>评估</w:t>
      </w:r>
      <w:r>
        <w:rPr>
          <w:rFonts w:ascii="Arial" w:eastAsia="仿宋_GB2312" w:hAnsi="Arial" w:cs="Arial"/>
          <w:sz w:val="32"/>
          <w:szCs w:val="32"/>
        </w:rPr>
        <w:t>资料缺失</w:t>
      </w:r>
      <w:r>
        <w:rPr>
          <w:rFonts w:ascii="Arial" w:eastAsia="仿宋_GB2312" w:hAnsi="Arial" w:cs="Arial" w:hint="eastAsia"/>
          <w:sz w:val="32"/>
          <w:szCs w:val="32"/>
        </w:rPr>
        <w:t>情况和</w:t>
      </w:r>
      <w:r>
        <w:rPr>
          <w:rFonts w:ascii="Arial" w:eastAsia="仿宋_GB2312" w:hAnsi="Arial" w:cs="Arial"/>
          <w:sz w:val="32"/>
          <w:szCs w:val="32"/>
        </w:rPr>
        <w:t>处理</w:t>
      </w:r>
      <w:r>
        <w:rPr>
          <w:rFonts w:ascii="Arial" w:eastAsia="仿宋_GB2312" w:hAnsi="Arial" w:cs="Arial" w:hint="eastAsia"/>
          <w:sz w:val="32"/>
          <w:szCs w:val="32"/>
        </w:rPr>
        <w:t>方式，以及对评估结论的可能影响</w:t>
      </w:r>
      <w:r>
        <w:rPr>
          <w:rFonts w:ascii="Arial" w:eastAsia="仿宋_GB2312" w:hAnsi="Arial" w:cs="Arial"/>
          <w:sz w:val="32"/>
          <w:szCs w:val="32"/>
        </w:rPr>
        <w:t>；</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hint="eastAsia"/>
          <w:sz w:val="32"/>
          <w:szCs w:val="32"/>
        </w:rPr>
        <w:t>（五）选用两种或两种以上评估方法的理由及原因分析；</w:t>
      </w:r>
    </w:p>
    <w:p w:rsidR="0028646B" w:rsidRDefault="0068618A" w:rsidP="00783E27">
      <w:pPr>
        <w:spacing w:line="578" w:lineRule="exact"/>
        <w:ind w:firstLineChars="200" w:firstLine="630"/>
        <w:rPr>
          <w:rFonts w:ascii="Arial" w:eastAsia="仿宋_GB2312" w:hAnsi="Arial" w:cs="Arial"/>
          <w:sz w:val="32"/>
          <w:szCs w:val="32"/>
        </w:rPr>
      </w:pPr>
      <w:r>
        <w:rPr>
          <w:rFonts w:ascii="Arial" w:eastAsia="仿宋_GB2312" w:hAnsi="Arial" w:cs="Arial" w:hint="eastAsia"/>
          <w:sz w:val="32"/>
          <w:szCs w:val="32"/>
        </w:rPr>
        <w:t>（六）利用专家工作及相关报告的内容；</w:t>
      </w:r>
    </w:p>
    <w:p w:rsidR="0028646B" w:rsidRDefault="0068618A">
      <w:pPr>
        <w:pStyle w:val="af0"/>
        <w:snapToGrid w:val="0"/>
        <w:spacing w:line="578" w:lineRule="exact"/>
        <w:ind w:firstLine="630"/>
        <w:rPr>
          <w:rFonts w:ascii="Arial" w:eastAsia="仿宋_GB2312" w:hAnsi="Arial" w:cs="Arial"/>
          <w:sz w:val="32"/>
          <w:szCs w:val="32"/>
        </w:rPr>
      </w:pPr>
      <w:r>
        <w:rPr>
          <w:rFonts w:ascii="Arial" w:eastAsia="仿宋_GB2312" w:hAnsi="Arial" w:cs="Arial"/>
          <w:sz w:val="32"/>
          <w:szCs w:val="32"/>
        </w:rPr>
        <w:t>（</w:t>
      </w:r>
      <w:r>
        <w:rPr>
          <w:rFonts w:ascii="Arial" w:eastAsia="仿宋_GB2312" w:hAnsi="Arial" w:cs="Arial" w:hint="eastAsia"/>
          <w:sz w:val="32"/>
          <w:szCs w:val="32"/>
        </w:rPr>
        <w:t>七</w:t>
      </w:r>
      <w:r>
        <w:rPr>
          <w:rFonts w:ascii="Arial" w:eastAsia="仿宋_GB2312" w:hAnsi="Arial" w:cs="Arial"/>
          <w:sz w:val="32"/>
          <w:szCs w:val="32"/>
        </w:rPr>
        <w:t>）其他可能影响正确理解评估结论和</w:t>
      </w:r>
      <w:r>
        <w:rPr>
          <w:rFonts w:ascii="Arial" w:eastAsia="仿宋_GB2312" w:hAnsi="Arial" w:cs="Arial" w:hint="eastAsia"/>
          <w:sz w:val="32"/>
          <w:szCs w:val="32"/>
        </w:rPr>
        <w:t>资产</w:t>
      </w:r>
      <w:r>
        <w:rPr>
          <w:rFonts w:ascii="Arial" w:eastAsia="仿宋_GB2312" w:hAnsi="Arial" w:cs="Arial"/>
          <w:sz w:val="32"/>
          <w:szCs w:val="32"/>
        </w:rPr>
        <w:t>评估报告使用的事项</w:t>
      </w:r>
      <w:r>
        <w:rPr>
          <w:rFonts w:ascii="Arial" w:eastAsia="仿宋_GB2312" w:hAnsi="Arial" w:cs="Arial" w:hint="eastAsia"/>
          <w:sz w:val="32"/>
          <w:szCs w:val="32"/>
        </w:rPr>
        <w:t>。</w:t>
      </w:r>
    </w:p>
    <w:p w:rsidR="0028646B" w:rsidRDefault="0028646B">
      <w:pPr>
        <w:pStyle w:val="a0"/>
        <w:ind w:firstLine="410"/>
      </w:pPr>
    </w:p>
    <w:p w:rsidR="0028646B" w:rsidRDefault="0028646B">
      <w:pPr>
        <w:pStyle w:val="a0"/>
        <w:ind w:firstLine="410"/>
      </w:pPr>
    </w:p>
    <w:p w:rsidR="00783E27" w:rsidRDefault="00783E27">
      <w:pPr>
        <w:pStyle w:val="a0"/>
        <w:ind w:firstLine="410"/>
      </w:pPr>
    </w:p>
    <w:p w:rsidR="00783E27" w:rsidRDefault="00783E27">
      <w:pPr>
        <w:pStyle w:val="a0"/>
        <w:ind w:firstLine="410"/>
      </w:pPr>
    </w:p>
    <w:p w:rsidR="00783E27" w:rsidRPr="00783E27" w:rsidRDefault="00783E27">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f0"/>
        <w:snapToGrid w:val="0"/>
        <w:spacing w:line="578" w:lineRule="exact"/>
        <w:ind w:firstLineChars="0" w:firstLine="0"/>
        <w:rPr>
          <w:rFonts w:ascii="Arial" w:eastAsia="仿宋_GB2312" w:hAnsi="Arial" w:cs="Arial"/>
          <w:sz w:val="32"/>
          <w:szCs w:val="32"/>
        </w:rPr>
        <w:sectPr w:rsidR="0028646B">
          <w:footerReference w:type="default" r:id="rId12"/>
          <w:pgSz w:w="11906" w:h="16838"/>
          <w:pgMar w:top="2098" w:right="1531" w:bottom="1985" w:left="1531" w:header="851" w:footer="1587" w:gutter="0"/>
          <w:cols w:space="425"/>
          <w:vAlign w:val="both"/>
          <w:docGrid w:type="linesAndChars" w:linePitch="579" w:charSpace="-1024"/>
        </w:sectPr>
      </w:pPr>
    </w:p>
    <w:p w:rsidR="0028646B" w:rsidRDefault="0068618A">
      <w:pPr>
        <w:spacing w:line="600" w:lineRule="exact"/>
        <w:jc w:val="center"/>
        <w:rPr>
          <w:rFonts w:ascii="方正小标宋简体" w:eastAsia="方正小标宋简体" w:hAnsi="方正小标宋简体" w:cs="Arial"/>
          <w:sz w:val="44"/>
          <w:szCs w:val="44"/>
        </w:rPr>
      </w:pPr>
      <w:r>
        <w:rPr>
          <w:rFonts w:ascii="方正小标宋简体" w:eastAsia="方正小标宋简体" w:hAnsi="方正小标宋简体" w:cs="Arial" w:hint="eastAsia"/>
          <w:sz w:val="44"/>
          <w:szCs w:val="44"/>
        </w:rPr>
        <w:lastRenderedPageBreak/>
        <w:t>《资产评估专家指引第XX号——知识产权</w:t>
      </w:r>
    </w:p>
    <w:p w:rsidR="0028646B" w:rsidRDefault="0068618A">
      <w:pPr>
        <w:spacing w:line="600" w:lineRule="exact"/>
        <w:jc w:val="center"/>
        <w:rPr>
          <w:rFonts w:ascii="方正小标宋简体" w:eastAsia="方正小标宋简体" w:hAnsi="方正小标宋简体" w:cs="Arial"/>
          <w:sz w:val="44"/>
          <w:szCs w:val="44"/>
        </w:rPr>
      </w:pPr>
      <w:r>
        <w:rPr>
          <w:rFonts w:ascii="方正小标宋简体" w:eastAsia="方正小标宋简体" w:hAnsi="方正小标宋简体" w:cs="Arial" w:hint="eastAsia"/>
          <w:sz w:val="44"/>
          <w:szCs w:val="44"/>
        </w:rPr>
        <w:t>侵权损害评估（征求意见稿）》</w:t>
      </w:r>
    </w:p>
    <w:p w:rsidR="0028646B" w:rsidRDefault="0068618A">
      <w:pPr>
        <w:spacing w:line="600" w:lineRule="exact"/>
        <w:jc w:val="center"/>
        <w:outlineLvl w:val="1"/>
        <w:rPr>
          <w:rFonts w:ascii="方正小标宋简体" w:eastAsia="方正小标宋简体" w:hAnsi="方正小标宋简体" w:cs="Arial"/>
          <w:sz w:val="44"/>
          <w:szCs w:val="44"/>
        </w:rPr>
      </w:pPr>
      <w:r>
        <w:rPr>
          <w:rFonts w:ascii="方正小标宋简体" w:eastAsia="方正小标宋简体" w:hAnsi="方正小标宋简体" w:cs="Arial" w:hint="eastAsia"/>
          <w:sz w:val="44"/>
          <w:szCs w:val="44"/>
        </w:rPr>
        <w:t>起草说明</w:t>
      </w:r>
    </w:p>
    <w:p w:rsidR="0028646B" w:rsidRDefault="0028646B">
      <w:pPr>
        <w:adjustRightInd w:val="0"/>
        <w:snapToGrid w:val="0"/>
        <w:spacing w:line="700" w:lineRule="exact"/>
        <w:rPr>
          <w:rFonts w:ascii="方正小标宋简体" w:eastAsia="方正小标宋简体" w:hAnsi="方正小标宋简体" w:cs="Arial"/>
          <w:sz w:val="32"/>
          <w:szCs w:val="32"/>
        </w:rPr>
      </w:pP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为指导资产评估机构及其资产评估专业人员执行知识产权侵权损害评估业务，保护资产评估当事人合法权益和公共利益，中国资产评估协会（以下简称中评协）组织起草了《资产评估专家指引第XX号</w:t>
      </w:r>
      <w:r>
        <w:rPr>
          <w:rFonts w:ascii="华文中宋" w:eastAsia="华文中宋" w:hAnsi="华文中宋" w:cs="Arial" w:hint="eastAsia"/>
          <w:sz w:val="32"/>
          <w:szCs w:val="32"/>
        </w:rPr>
        <w:t>——</w:t>
      </w:r>
      <w:r>
        <w:rPr>
          <w:rFonts w:ascii="仿宋_GB2312" w:eastAsia="仿宋_GB2312" w:hAnsi="Arial" w:cs="Arial" w:hint="eastAsia"/>
          <w:sz w:val="32"/>
          <w:szCs w:val="32"/>
        </w:rPr>
        <w:t>知识产权侵权损害评估（征求意见稿）》（以下简称专家指引）。为方便相关方面理解本专家指引内容，现就有关事项说明如下：</w:t>
      </w:r>
    </w:p>
    <w:p w:rsidR="0028646B" w:rsidRDefault="0068618A" w:rsidP="00783E27">
      <w:pPr>
        <w:adjustRightInd w:val="0"/>
        <w:snapToGrid w:val="0"/>
        <w:spacing w:line="578" w:lineRule="exact"/>
        <w:ind w:firstLineChars="200" w:firstLine="630"/>
        <w:rPr>
          <w:rFonts w:ascii="黑体" w:eastAsia="黑体" w:hAnsi="黑体" w:cs="Arial"/>
          <w:sz w:val="32"/>
          <w:szCs w:val="32"/>
        </w:rPr>
      </w:pPr>
      <w:r>
        <w:rPr>
          <w:rFonts w:ascii="黑体" w:eastAsia="黑体" w:hAnsi="黑体" w:cs="Arial" w:hint="eastAsia"/>
          <w:sz w:val="32"/>
          <w:szCs w:val="32"/>
        </w:rPr>
        <w:t>一、制定专家指引的背景</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根据国家知识产权局统计，截至2020年底，我国发明专利有效量为305.8万件，同比增长14.5%；有效注册商标量3017.3万件，同比增长19.6%。然而，在我国知识产权数量和质量均有大幅提升的同时，知识产权侵权现象十分严重。以专利为例，国家知识产权局发布的《2020年中国专利调查报告》显示，在2020年近12,000个调查样本中，遭遇过专利侵权的权利人比例为10.8%，而在面对侵权损害时，未采取维权措施的权利人比例高达约26%。在权利人通过诉讼途径维权的案例中，权利人获得100万元以上赔偿的比例仅有7.3%，且受偿额度与国外发达国家存在较大差距。</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lastRenderedPageBreak/>
        <w:t>项目组通过调研发现，目前案件较多采用法定赔偿法，即主要依靠审判经验确定知识产权侵权损害赔偿额。采用法定赔偿法的主要原因一方面是当事人举证不充分或者举证材料真实性难以判断，另一方面是法官对涉案知识产权的产品利润率、分摊比例等技术问题缺乏专业判断。资产评估作为提供价值咨询与鉴证服务的专业服务行业，资产评估机构及其资产评估专业人员熟悉知识产权价值影响因素及价值测算程序，有能力为知识产权司法实践提供专业技术支持。2021年10月国务院印发了《“十四五”国家知识产权保护和运用规划》，规划中特别强调要通过建立知识产权侵权损害评估制度，完善知识产权保护政策，即建立合理的知识产权侵权损害评估机制是知识产权保护的重要内容和有效举措。</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为落实国务院要求，推动我国知识产权侵权损害评估制度建设，促进资产评估更好地服务于司法实践，中评协研究制定了本专家指引。</w:t>
      </w:r>
    </w:p>
    <w:p w:rsidR="0028646B" w:rsidRDefault="0068618A" w:rsidP="00783E27">
      <w:pPr>
        <w:adjustRightInd w:val="0"/>
        <w:snapToGrid w:val="0"/>
        <w:spacing w:line="578" w:lineRule="exact"/>
        <w:ind w:firstLineChars="200" w:firstLine="630"/>
        <w:rPr>
          <w:rFonts w:ascii="黑体" w:eastAsia="黑体" w:hAnsi="黑体" w:cs="Arial"/>
          <w:sz w:val="32"/>
          <w:szCs w:val="32"/>
        </w:rPr>
      </w:pPr>
      <w:r>
        <w:rPr>
          <w:rFonts w:ascii="黑体" w:eastAsia="黑体" w:hAnsi="黑体" w:cs="Arial" w:hint="eastAsia"/>
          <w:sz w:val="32"/>
          <w:szCs w:val="32"/>
        </w:rPr>
        <w:t>二、起草定位</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资产评估专家指引旨在指导资产评估机构及其资产评估专业人员执行资产评估业务行为，仅供参考使用，不具有强制性。</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本专家指引基于商标法、专利法、著作权法和反不正当竞争法等知识产权法律及其司法解释，将侵权损失法、侵权获利法和合理许可费法纳入资产评估方法范畴（不含法定赔偿法），对各种方法的操作原理以及应用时需要关注的重点、难点问题予以说明，同时基于知识产权相关资产评估准则，就资产评估报告的编制、</w:t>
      </w:r>
      <w:r>
        <w:rPr>
          <w:rFonts w:ascii="仿宋_GB2312" w:eastAsia="仿宋_GB2312" w:hAnsi="Arial" w:cs="Arial" w:hint="eastAsia"/>
          <w:sz w:val="32"/>
          <w:szCs w:val="32"/>
        </w:rPr>
        <w:lastRenderedPageBreak/>
        <w:t>使用和披露给出了规范化建议。</w:t>
      </w:r>
    </w:p>
    <w:p w:rsidR="0028646B" w:rsidRDefault="0068618A" w:rsidP="00783E27">
      <w:pPr>
        <w:adjustRightInd w:val="0"/>
        <w:snapToGrid w:val="0"/>
        <w:spacing w:line="578" w:lineRule="exact"/>
        <w:ind w:firstLineChars="200" w:firstLine="630"/>
        <w:rPr>
          <w:rFonts w:ascii="黑体" w:eastAsia="黑体" w:hAnsi="黑体" w:cs="Arial"/>
          <w:sz w:val="32"/>
          <w:szCs w:val="32"/>
        </w:rPr>
      </w:pPr>
      <w:r>
        <w:rPr>
          <w:rFonts w:ascii="黑体" w:eastAsia="黑体" w:hAnsi="黑体" w:cs="Arial" w:hint="eastAsia"/>
          <w:sz w:val="32"/>
          <w:szCs w:val="32"/>
        </w:rPr>
        <w:t>三、起草过程</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经前期准备，2021年9月，中评协组建项目组，在《知识产权损害赔偿中的价值评估研究》重大课题成果的基础上着手研究制定本专家指引，于2021年11月形成建议稿。2</w:t>
      </w:r>
      <w:r>
        <w:rPr>
          <w:rFonts w:ascii="仿宋_GB2312" w:eastAsia="仿宋_GB2312" w:hAnsi="Arial" w:cs="Arial"/>
          <w:sz w:val="32"/>
          <w:szCs w:val="32"/>
        </w:rPr>
        <w:t>021</w:t>
      </w:r>
      <w:r>
        <w:rPr>
          <w:rFonts w:ascii="仿宋_GB2312" w:eastAsia="仿宋_GB2312" w:hAnsi="Arial" w:cs="Arial" w:hint="eastAsia"/>
          <w:sz w:val="32"/>
          <w:szCs w:val="32"/>
        </w:rPr>
        <w:t>年1</w:t>
      </w:r>
      <w:r>
        <w:rPr>
          <w:rFonts w:ascii="仿宋_GB2312" w:eastAsia="仿宋_GB2312" w:hAnsi="Arial" w:cs="Arial"/>
          <w:sz w:val="32"/>
          <w:szCs w:val="32"/>
        </w:rPr>
        <w:t>2</w:t>
      </w:r>
      <w:r>
        <w:rPr>
          <w:rFonts w:ascii="仿宋_GB2312" w:eastAsia="仿宋_GB2312" w:hAnsi="Arial" w:cs="Arial" w:hint="eastAsia"/>
          <w:sz w:val="32"/>
          <w:szCs w:val="32"/>
        </w:rPr>
        <w:t>月，中评协组织召开建议稿讨论会，并于2022年5月再次组织部分专家提出修改意见，项目组根据专家意见对建议稿进行修改完善，于2</w:t>
      </w:r>
      <w:r>
        <w:rPr>
          <w:rFonts w:ascii="仿宋_GB2312" w:eastAsia="仿宋_GB2312" w:hAnsi="Arial" w:cs="Arial"/>
          <w:sz w:val="32"/>
          <w:szCs w:val="32"/>
        </w:rPr>
        <w:t>022</w:t>
      </w:r>
      <w:r>
        <w:rPr>
          <w:rFonts w:ascii="仿宋_GB2312" w:eastAsia="仿宋_GB2312" w:hAnsi="Arial" w:cs="Arial" w:hint="eastAsia"/>
          <w:sz w:val="32"/>
          <w:szCs w:val="32"/>
        </w:rPr>
        <w:t>年6月初形成征求意见稿。</w:t>
      </w:r>
    </w:p>
    <w:p w:rsidR="0028646B" w:rsidRDefault="0068618A" w:rsidP="00783E27">
      <w:pPr>
        <w:adjustRightInd w:val="0"/>
        <w:snapToGrid w:val="0"/>
        <w:spacing w:line="578" w:lineRule="exact"/>
        <w:ind w:firstLineChars="200" w:firstLine="630"/>
        <w:rPr>
          <w:rFonts w:ascii="黑体" w:eastAsia="黑体" w:hAnsi="黑体" w:cs="Arial"/>
          <w:sz w:val="32"/>
          <w:szCs w:val="32"/>
        </w:rPr>
      </w:pPr>
      <w:r>
        <w:rPr>
          <w:rFonts w:ascii="黑体" w:eastAsia="黑体" w:hAnsi="黑体" w:cs="Arial" w:hint="eastAsia"/>
          <w:sz w:val="32"/>
          <w:szCs w:val="32"/>
        </w:rPr>
        <w:t>四、结构和主要内容</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本专家指引分为五章，分别为引言、基本遵循、操作要求、评估方法和披露要求，共二十九条。</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一是明确了本专家指引制定的目的和依据，包括知识产权侵权损害及知识产权侵权损害评估的定义。</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二是明确了执行知识产权侵权损害评估业务对资产评估机构和资产评估专业人员的职业操守、独立性、胜任能力、专业性等方面的要求。</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三是对执行知识产权侵权损害评估业务提出具体操作要求，包括明确评估目的、评估对象、损害行为、损害期间、损害范围以及侵权损害评估方法的选择等分别做出总体规范和要求，并对业务执行过程中需要关注的重要事项以及资料收集要求进行了具体说明。</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四是介绍了侵权损失法、侵权获利法和合理许可费法的概念、</w:t>
      </w:r>
      <w:r>
        <w:rPr>
          <w:rFonts w:ascii="仿宋_GB2312" w:eastAsia="仿宋_GB2312" w:hAnsi="Arial" w:cs="Arial" w:hint="eastAsia"/>
          <w:sz w:val="32"/>
          <w:szCs w:val="32"/>
        </w:rPr>
        <w:lastRenderedPageBreak/>
        <w:t>适用性、模型原理以及运用时需要关注的重点问题。</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五是提出了执行知识产权侵权损害评估业务的披露要求，包括评估报告通常包含的主要内容以及需要重点披露的内容。</w:t>
      </w:r>
    </w:p>
    <w:p w:rsidR="0028646B" w:rsidRDefault="0068618A" w:rsidP="00783E27">
      <w:pPr>
        <w:adjustRightInd w:val="0"/>
        <w:snapToGrid w:val="0"/>
        <w:spacing w:line="578" w:lineRule="exact"/>
        <w:ind w:firstLineChars="200" w:firstLine="630"/>
        <w:rPr>
          <w:rFonts w:ascii="黑体" w:eastAsia="黑体" w:hAnsi="黑体" w:cs="Arial"/>
          <w:sz w:val="32"/>
          <w:szCs w:val="32"/>
        </w:rPr>
      </w:pPr>
      <w:r>
        <w:rPr>
          <w:rFonts w:ascii="黑体" w:eastAsia="黑体" w:hAnsi="黑体" w:cs="Arial" w:hint="eastAsia"/>
          <w:sz w:val="32"/>
          <w:szCs w:val="32"/>
        </w:rPr>
        <w:t>五、重要事项说明</w:t>
      </w:r>
    </w:p>
    <w:p w:rsidR="0028646B" w:rsidRDefault="0068618A" w:rsidP="00783E27">
      <w:pPr>
        <w:spacing w:line="578" w:lineRule="exact"/>
        <w:ind w:firstLineChars="200" w:firstLine="630"/>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（一）知识产权侵权损害评估方法的选择。</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知识产权侵权损害评估方法的选择需要符合相关知识产权法律和司法实践的规定和要求，按顺序考虑侵权损失法、侵权获利法和合理许可费法三种评估方法确定知识产权侵权损害金额的适用性，并充分披露所选评估方法的理由和不选用其他方法的原因。</w:t>
      </w:r>
    </w:p>
    <w:p w:rsidR="0028646B" w:rsidRDefault="0068618A" w:rsidP="00783E27">
      <w:pPr>
        <w:spacing w:line="578" w:lineRule="exact"/>
        <w:ind w:firstLineChars="200" w:firstLine="630"/>
        <w:rPr>
          <w:rFonts w:ascii="楷体_GB2312" w:eastAsia="楷体_GB2312"/>
          <w:color w:val="000000"/>
          <w:sz w:val="32"/>
          <w:szCs w:val="32"/>
          <w:shd w:val="clear" w:color="auto" w:fill="FFFFFF"/>
        </w:rPr>
      </w:pPr>
      <w:r>
        <w:rPr>
          <w:rFonts w:ascii="楷体_GB2312" w:eastAsia="楷体_GB2312"/>
          <w:color w:val="000000"/>
          <w:sz w:val="32"/>
          <w:szCs w:val="32"/>
          <w:shd w:val="clear" w:color="auto" w:fill="FFFFFF"/>
        </w:rPr>
        <w:t>（二）知识产权侵权损害评估程序的特点。</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相较于知识产权资产评估程序，知识产权侵权损害评估程序明显具有服务于司法实践的特点，主要表现在：</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一是知识产权侵权损害评估通常由法院委托，具有法定程序要求；</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二是知识产权侵权损害评估依据的主要资料通常来自相关当事人提供的证据，需要在司法部门配合下依照法定程序取得；</w:t>
      </w:r>
    </w:p>
    <w:p w:rsidR="0028646B" w:rsidRDefault="0068618A" w:rsidP="00783E27">
      <w:pPr>
        <w:adjustRightInd w:val="0"/>
        <w:snapToGrid w:val="0"/>
        <w:spacing w:line="578" w:lineRule="exact"/>
        <w:ind w:firstLineChars="200" w:firstLine="630"/>
        <w:rPr>
          <w:rFonts w:ascii="仿宋_GB2312" w:eastAsia="仿宋_GB2312" w:hAnsi="Arial" w:cs="Arial"/>
          <w:sz w:val="32"/>
          <w:szCs w:val="32"/>
        </w:rPr>
      </w:pPr>
      <w:r>
        <w:rPr>
          <w:rFonts w:ascii="仿宋_GB2312" w:eastAsia="仿宋_GB2312" w:hAnsi="Arial" w:cs="Arial" w:hint="eastAsia"/>
          <w:sz w:val="32"/>
          <w:szCs w:val="32"/>
        </w:rPr>
        <w:t>三是知识产权侵权损害评估的结论通常具有法律效力，需要资产评估专业人员依照法定程序进行质证。</w:t>
      </w:r>
    </w:p>
    <w:p w:rsidR="0028646B" w:rsidRDefault="0068618A">
      <w:pPr>
        <w:wordWrap w:val="0"/>
        <w:spacing w:line="560" w:lineRule="exact"/>
        <w:rPr>
          <w:rFonts w:ascii="黑体" w:eastAsia="黑体" w:hAnsi="黑体"/>
          <w:sz w:val="32"/>
          <w:szCs w:val="32"/>
        </w:rPr>
        <w:sectPr w:rsidR="0028646B">
          <w:footerReference w:type="default" r:id="rId13"/>
          <w:pgSz w:w="11906" w:h="16838"/>
          <w:pgMar w:top="2098" w:right="1531" w:bottom="1984" w:left="1531" w:header="851" w:footer="1587" w:gutter="0"/>
          <w:cols w:space="425"/>
          <w:vAlign w:val="both"/>
          <w:docGrid w:type="linesAndChars" w:linePitch="312" w:charSpace="-1024"/>
        </w:sectPr>
      </w:pPr>
      <w:r>
        <w:rPr>
          <w:rFonts w:ascii="仿宋_GB2312" w:eastAsia="仿宋_GB2312" w:hAnsi="Arial" w:cs="Arial" w:hint="eastAsia"/>
          <w:sz w:val="32"/>
          <w:szCs w:val="32"/>
        </w:rPr>
        <w:t>因此，资产评估机构及其资产评估专业人员执行知识产权侵权损害评估业务，需要保持充分谨慎的执业态度，确保工作程序合法合规。</w:t>
      </w:r>
    </w:p>
    <w:p w:rsidR="0028646B" w:rsidRDefault="0068618A">
      <w:pPr>
        <w:spacing w:line="700" w:lineRule="exact"/>
        <w:jc w:val="center"/>
        <w:outlineLvl w:val="0"/>
        <w:rPr>
          <w:rFonts w:ascii="方正小标宋简体" w:eastAsia="方正小标宋简体" w:cs="黑体"/>
          <w:bCs/>
          <w:spacing w:val="-2"/>
          <w:sz w:val="44"/>
          <w:szCs w:val="44"/>
        </w:rPr>
      </w:pPr>
      <w:bookmarkStart w:id="11" w:name="_Toc12425"/>
      <w:bookmarkStart w:id="12" w:name="_Toc21874"/>
      <w:bookmarkStart w:id="13" w:name="_Toc17494"/>
      <w:r>
        <w:rPr>
          <w:rFonts w:ascii="方正小标宋简体" w:eastAsia="方正小标宋简体" w:cs="黑体" w:hint="eastAsia"/>
          <w:bCs/>
          <w:spacing w:val="-2"/>
          <w:w w:val="90"/>
          <w:sz w:val="44"/>
          <w:szCs w:val="44"/>
        </w:rPr>
        <w:lastRenderedPageBreak/>
        <w:t>资产评估专家指引</w:t>
      </w:r>
      <w:r>
        <w:rPr>
          <w:rFonts w:ascii="方正小标宋简体" w:eastAsia="方正小标宋简体" w:hAnsi="方正小标宋简体"/>
          <w:color w:val="000000" w:themeColor="text1"/>
          <w:spacing w:val="-2"/>
          <w:sz w:val="44"/>
          <w:szCs w:val="44"/>
        </w:rPr>
        <w:t>第XX号——</w:t>
      </w:r>
      <w:r>
        <w:rPr>
          <w:rFonts w:ascii="方正小标宋简体" w:eastAsia="方正小标宋简体" w:cs="黑体" w:hint="eastAsia"/>
          <w:bCs/>
          <w:spacing w:val="-2"/>
          <w:w w:val="90"/>
          <w:sz w:val="44"/>
          <w:szCs w:val="44"/>
        </w:rPr>
        <w:t>计算机软件著作权</w:t>
      </w:r>
      <w:bookmarkStart w:id="14" w:name="_Toc26229"/>
      <w:bookmarkStart w:id="15" w:name="_Toc5244"/>
      <w:bookmarkStart w:id="16" w:name="_Toc13287"/>
      <w:bookmarkEnd w:id="11"/>
      <w:bookmarkEnd w:id="12"/>
      <w:bookmarkEnd w:id="13"/>
      <w:r>
        <w:rPr>
          <w:rFonts w:ascii="方正小标宋简体" w:eastAsia="方正小标宋简体" w:cs="黑体" w:hint="eastAsia"/>
          <w:bCs/>
          <w:spacing w:val="-2"/>
          <w:w w:val="90"/>
          <w:sz w:val="44"/>
          <w:szCs w:val="44"/>
        </w:rPr>
        <w:t>资产评估</w:t>
      </w:r>
      <w:bookmarkStart w:id="17" w:name="_Toc26339"/>
      <w:bookmarkStart w:id="18" w:name="_Toc31014"/>
      <w:bookmarkStart w:id="19" w:name="_Toc13488"/>
      <w:bookmarkEnd w:id="14"/>
      <w:bookmarkEnd w:id="15"/>
      <w:bookmarkEnd w:id="16"/>
      <w:r>
        <w:rPr>
          <w:rFonts w:ascii="方正小标宋简体" w:eastAsia="方正小标宋简体" w:cs="黑体" w:hint="eastAsia"/>
          <w:bCs/>
          <w:spacing w:val="-2"/>
          <w:sz w:val="44"/>
          <w:szCs w:val="44"/>
        </w:rPr>
        <w:t>（征求意见稿）</w:t>
      </w:r>
      <w:bookmarkEnd w:id="17"/>
      <w:bookmarkEnd w:id="18"/>
      <w:bookmarkEnd w:id="19"/>
    </w:p>
    <w:p w:rsidR="0028646B" w:rsidRDefault="0028646B" w:rsidP="00783E27">
      <w:pPr>
        <w:spacing w:line="700" w:lineRule="exact"/>
        <w:ind w:firstLineChars="200" w:firstLine="630"/>
        <w:rPr>
          <w:rFonts w:ascii="仿宋_GB2312" w:eastAsia="仿宋_GB2312" w:hAnsi="宋体" w:cs="仿宋_GB2312"/>
          <w:color w:val="000000"/>
          <w:sz w:val="32"/>
          <w:szCs w:val="32"/>
          <w:lang w:bidi="ar"/>
        </w:rPr>
      </w:pPr>
    </w:p>
    <w:p w:rsidR="0028646B" w:rsidRDefault="0068618A" w:rsidP="00783E27">
      <w:pPr>
        <w:wordWrap w:val="0"/>
        <w:spacing w:line="560"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本专家指引是一种专家建议。评估机构执行资产评估业务，可以参照本专家指引，也可以根据具体情况采用其他适当的做法。中国资产评估协会将根据业务发展，对本专家指引进行更新。</w:t>
      </w:r>
    </w:p>
    <w:p w:rsidR="0028646B" w:rsidRDefault="0068618A">
      <w:pPr>
        <w:pStyle w:val="2"/>
        <w:spacing w:beforeLines="100" w:before="579" w:afterLines="100" w:after="579" w:line="560" w:lineRule="exact"/>
        <w:jc w:val="center"/>
        <w:rPr>
          <w:rFonts w:ascii="黑体" w:hAnsi="黑体"/>
          <w:b w:val="0"/>
          <w:szCs w:val="32"/>
        </w:rPr>
      </w:pPr>
      <w:r>
        <w:rPr>
          <w:rFonts w:ascii="黑体" w:hAnsi="黑体" w:hint="eastAsia"/>
          <w:b w:val="0"/>
          <w:szCs w:val="32"/>
        </w:rPr>
        <w:t>第一章</w:t>
      </w:r>
      <w:r>
        <w:rPr>
          <w:rFonts w:ascii="黑体" w:hAnsi="黑体"/>
          <w:b w:val="0"/>
          <w:szCs w:val="32"/>
        </w:rPr>
        <w:t xml:space="preserve">  </w:t>
      </w:r>
      <w:r>
        <w:rPr>
          <w:rFonts w:ascii="黑体" w:hAnsi="黑体" w:hint="eastAsia"/>
          <w:b w:val="0"/>
          <w:szCs w:val="32"/>
        </w:rPr>
        <w:t>引言</w:t>
      </w:r>
    </w:p>
    <w:p w:rsidR="0028646B" w:rsidRDefault="0068618A" w:rsidP="00783E27">
      <w:pPr>
        <w:numPr>
          <w:ilvl w:val="255"/>
          <w:numId w:val="0"/>
        </w:numPr>
        <w:spacing w:line="560" w:lineRule="exact"/>
        <w:ind w:firstLineChars="200" w:firstLine="633"/>
        <w:rPr>
          <w:rFonts w:ascii="仿宋_GB2312"/>
          <w:spacing w:val="-2"/>
          <w:sz w:val="32"/>
          <w:szCs w:val="32"/>
        </w:rPr>
      </w:pPr>
      <w:r>
        <w:rPr>
          <w:rFonts w:ascii="仿宋_GB2312" w:eastAsia="仿宋_GB2312" w:hAnsi="Calibri" w:cs="华文仿宋" w:hint="eastAsia"/>
          <w:b/>
          <w:bCs/>
          <w:sz w:val="32"/>
          <w:szCs w:val="32"/>
        </w:rPr>
        <w:t>第一条</w:t>
      </w:r>
      <w:r>
        <w:rPr>
          <w:rFonts w:ascii="仿宋_GB2312" w:eastAsia="仿宋_GB2312" w:hAnsi="Calibri" w:cs="华文仿宋" w:hint="eastAsia"/>
          <w:sz w:val="32"/>
          <w:szCs w:val="32"/>
        </w:rPr>
        <w:t xml:space="preserve">  针对计算机软件著作权资产特点，结合目前实际操作中的部分难点及要点，中国资产评估协会组织制定了本专家指引。</w:t>
      </w:r>
    </w:p>
    <w:p w:rsidR="0028646B" w:rsidRDefault="0068618A" w:rsidP="00783E27">
      <w:pPr>
        <w:numPr>
          <w:ilvl w:val="255"/>
          <w:numId w:val="0"/>
        </w:numPr>
        <w:spacing w:line="560" w:lineRule="exact"/>
        <w:ind w:firstLineChars="200" w:firstLine="633"/>
        <w:rPr>
          <w:rFonts w:ascii="仿宋_GB2312"/>
          <w:spacing w:val="-2"/>
          <w:sz w:val="32"/>
          <w:szCs w:val="32"/>
        </w:rPr>
      </w:pPr>
      <w:r>
        <w:rPr>
          <w:rFonts w:ascii="仿宋_GB2312" w:eastAsia="仿宋_GB2312" w:hAnsi="Calibri" w:cs="华文仿宋" w:hint="eastAsia"/>
          <w:b/>
          <w:bCs/>
          <w:sz w:val="32"/>
          <w:szCs w:val="32"/>
        </w:rPr>
        <w:t>第二条</w:t>
      </w:r>
      <w:r>
        <w:rPr>
          <w:rFonts w:ascii="仿宋_GB2312" w:eastAsia="仿宋_GB2312" w:hAnsi="Calibri" w:cs="华文仿宋" w:hint="eastAsia"/>
          <w:sz w:val="32"/>
          <w:szCs w:val="32"/>
        </w:rPr>
        <w:t xml:space="preserve">  本专家指引所指计算机软件著作权资产是指计算机软件著作权权利人拥有或者控制的，能够持续发挥作用并且能带来经济利益的计算机软件著作权的财产权益和与计算机软件著作权有关权利的财产权益。</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第三条</w:t>
      </w:r>
      <w:r>
        <w:rPr>
          <w:rFonts w:ascii="仿宋_GB2312" w:eastAsia="仿宋_GB2312" w:hAnsi="Calibri" w:cs="华文仿宋" w:hint="eastAsia"/>
          <w:sz w:val="32"/>
          <w:szCs w:val="32"/>
        </w:rPr>
        <w:t xml:space="preserve">  本专家指引所指计算机软件著作权资产评估，是指资产评估机构及其资产评估专业人员遵守法律、行政法规和资产评估准则，接受委托对评估基准日特定目的下的计算机软件著作权资产价值进行评定和估算，并出具资产评估报告的专业服务行为。</w:t>
      </w:r>
    </w:p>
    <w:p w:rsidR="0028646B" w:rsidRDefault="0068618A">
      <w:pPr>
        <w:pStyle w:val="2"/>
        <w:spacing w:beforeLines="100" w:before="579" w:afterLines="100" w:after="579" w:line="578" w:lineRule="exact"/>
        <w:jc w:val="center"/>
        <w:rPr>
          <w:rFonts w:ascii="黑体" w:hAnsi="黑体"/>
          <w:b w:val="0"/>
          <w:szCs w:val="32"/>
        </w:rPr>
      </w:pPr>
      <w:r>
        <w:rPr>
          <w:rFonts w:ascii="黑体" w:hAnsi="黑体" w:hint="eastAsia"/>
          <w:b w:val="0"/>
          <w:szCs w:val="32"/>
        </w:rPr>
        <w:lastRenderedPageBreak/>
        <w:t>第二章  评估对象</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第四条</w:t>
      </w:r>
      <w:r>
        <w:rPr>
          <w:rFonts w:ascii="仿宋_GB2312" w:eastAsia="仿宋_GB2312" w:hAnsi="Calibri" w:cs="华文仿宋" w:hint="eastAsia"/>
          <w:sz w:val="32"/>
          <w:szCs w:val="32"/>
        </w:rPr>
        <w:t xml:space="preserve">  本专家指引所称“计算机软件”，特指计算机程序及其有关文档，与《计算机软件保护条例》相关用语含义一致。</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一）计算机程序，是指为了得到某种结果而可以由计算机等具有信息处理能力的装置执行的代码化指令序列，或者可以被自动转换成代码化指令序列的符号化指令序列或者符号化语句序列（同一计算机程序的源程序和目标程序为同一作品）。</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（二）文档，是指用来描述程序的内容、组成、设计、功能规格、开发情况、测试结果及使用方法的文字资料和图表等，如程序设计说明书、流程图、用户手册等。</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需特别说明的是，软件工程领域内所谓</w:t>
      </w:r>
      <w:r>
        <w:rPr>
          <w:rFonts w:ascii="仿宋_GB2312" w:eastAsia="仿宋_GB2312" w:hAnsi="宋体" w:cs="仿宋_GB2312"/>
          <w:color w:val="000000"/>
          <w:sz w:val="32"/>
          <w:szCs w:val="32"/>
          <w:lang w:bidi="ar"/>
        </w:rPr>
        <w:t>“</w:t>
      </w:r>
      <w:r>
        <w:rPr>
          <w:rFonts w:ascii="仿宋_GB2312" w:eastAsia="仿宋_GB2312" w:hAnsi="宋体" w:cs="仿宋_GB2312"/>
          <w:color w:val="000000"/>
          <w:sz w:val="32"/>
          <w:szCs w:val="32"/>
          <w:lang w:bidi="ar"/>
        </w:rPr>
        <w:t>软件</w:t>
      </w:r>
      <w:r>
        <w:rPr>
          <w:rFonts w:ascii="仿宋_GB2312" w:eastAsia="仿宋_GB2312" w:hAnsi="宋体" w:cs="仿宋_GB2312"/>
          <w:color w:val="000000"/>
          <w:sz w:val="32"/>
          <w:szCs w:val="32"/>
          <w:lang w:bidi="ar"/>
        </w:rPr>
        <w:t>”</w:t>
      </w:r>
      <w:r>
        <w:rPr>
          <w:rFonts w:ascii="仿宋_GB2312" w:eastAsia="仿宋_GB2312" w:hAnsi="宋体" w:cs="仿宋_GB2312"/>
          <w:color w:val="000000"/>
          <w:sz w:val="32"/>
          <w:szCs w:val="32"/>
          <w:lang w:bidi="ar"/>
        </w:rPr>
        <w:t>，除包含上述计算机程序及其有关文档外，还涉及运行计算机程序所需的数据（数据指所有能输入到计算机并能够被计算机程序处理的符号总称，例如文字、数值、声音、图像和视频等）。运行计算机程序所需的数据并不一定都涉及著作权；若其存在著作权，根据《中华人民共和国著作权法》《计算机软件保护条例》有关规定，其属于计算机软件以外的其他作品著作权。</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第五条</w:t>
      </w:r>
      <w:r>
        <w:rPr>
          <w:rFonts w:ascii="仿宋_GB2312" w:eastAsia="仿宋_GB2312" w:hAnsi="Calibri" w:cs="华文仿宋" w:hint="eastAsia"/>
          <w:sz w:val="32"/>
          <w:szCs w:val="32"/>
        </w:rPr>
        <w:t xml:space="preserve">  计算机软件著作权包括人身权利和财产权利。本专家指引所指计算机软件著作权资产评估对象，是指计算机软件著作权中的财产权益以及与计算机软件著作权有关权利的财产权益。</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hint="eastAsia"/>
          <w:color w:val="000000"/>
          <w:sz w:val="32"/>
          <w:szCs w:val="32"/>
          <w:lang w:bidi="ar"/>
        </w:rPr>
        <w:lastRenderedPageBreak/>
        <w:t>需特别说明的是，实践中常见的计算机软件的合法复制品不属于计算机软件著作权资产；计算机软件合法复制品所有人拥有的仅仅是载有软件著作权作品的复制品，而不是计算机软件著作权资产。</w:t>
      </w:r>
    </w:p>
    <w:p w:rsidR="0028646B" w:rsidRDefault="0068618A" w:rsidP="00783E27">
      <w:pPr>
        <w:numPr>
          <w:ilvl w:val="255"/>
          <w:numId w:val="0"/>
        </w:numPr>
        <w:spacing w:line="578" w:lineRule="exact"/>
        <w:ind w:firstLineChars="200" w:firstLine="633"/>
        <w:rPr>
          <w:rFonts w:ascii="仿宋_GB2312"/>
          <w:spacing w:val="-2"/>
          <w:sz w:val="32"/>
          <w:szCs w:val="32"/>
        </w:rPr>
      </w:pPr>
      <w:r>
        <w:rPr>
          <w:rFonts w:ascii="仿宋_GB2312" w:eastAsia="仿宋_GB2312" w:hAnsi="Calibri" w:cs="华文仿宋" w:hint="eastAsia"/>
          <w:b/>
          <w:bCs/>
          <w:sz w:val="32"/>
          <w:szCs w:val="32"/>
        </w:rPr>
        <w:t>第六条</w:t>
      </w:r>
      <w:r>
        <w:rPr>
          <w:rFonts w:ascii="仿宋_GB2312" w:eastAsia="仿宋_GB2312" w:hAnsi="Calibri" w:cs="华文仿宋" w:hint="eastAsia"/>
          <w:sz w:val="32"/>
          <w:szCs w:val="32"/>
        </w:rPr>
        <w:t xml:space="preserve">  计算机软件著作权的财产权利形式包括计算机软件著作权人享有的权利和转让或者许可他人使用的权利。</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许可使用形式包括法定许可和授权许可；授权许可形式包括专有许可、非专有许可和其他形式许可等。</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当评估对象为计算机软件著作权许可使用权时，应当明确具体许可形式、内容和期限。</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实践中计算机软件的部分源</w:t>
      </w:r>
      <w:r>
        <w:rPr>
          <w:rFonts w:ascii="仿宋_GB2312" w:eastAsia="仿宋_GB2312" w:hAnsi="宋体" w:cs="仿宋_GB2312" w:hint="eastAsia"/>
          <w:color w:val="000000"/>
          <w:sz w:val="32"/>
          <w:szCs w:val="32"/>
          <w:lang w:bidi="ar"/>
        </w:rPr>
        <w:t>程序</w:t>
      </w:r>
      <w:r>
        <w:rPr>
          <w:rFonts w:ascii="仿宋_GB2312" w:eastAsia="仿宋_GB2312" w:hAnsi="宋体" w:cs="仿宋_GB2312"/>
          <w:color w:val="000000"/>
          <w:sz w:val="32"/>
          <w:szCs w:val="32"/>
          <w:lang w:bidi="ar"/>
        </w:rPr>
        <w:t>往往被转让或者许可给其它企业，而其它企业利用</w:t>
      </w:r>
      <w:r>
        <w:rPr>
          <w:rFonts w:ascii="仿宋_GB2312" w:eastAsia="仿宋_GB2312" w:hAnsi="宋体" w:cs="仿宋_GB2312" w:hint="eastAsia"/>
          <w:color w:val="000000"/>
          <w:sz w:val="32"/>
          <w:szCs w:val="32"/>
          <w:lang w:bidi="ar"/>
        </w:rPr>
        <w:t>源程序</w:t>
      </w:r>
      <w:r>
        <w:rPr>
          <w:rFonts w:ascii="仿宋_GB2312" w:eastAsia="仿宋_GB2312" w:hAnsi="宋体" w:cs="仿宋_GB2312"/>
          <w:color w:val="000000"/>
          <w:sz w:val="32"/>
          <w:szCs w:val="32"/>
          <w:lang w:bidi="ar"/>
        </w:rPr>
        <w:t>进行修改后，形成了新的软件，因此评估时应注意区分属于自有修改的部分和被特许使用的部分，综合分析被评估单位拥有的软件著作权资产范围。</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第七条</w:t>
      </w:r>
      <w:r>
        <w:rPr>
          <w:rFonts w:ascii="仿宋_GB2312" w:eastAsia="仿宋_GB2312" w:hAnsi="Calibri" w:cs="华文仿宋" w:hint="eastAsia"/>
          <w:sz w:val="32"/>
          <w:szCs w:val="32"/>
        </w:rPr>
        <w:t xml:space="preserve">  计算机软件著作权财产权利种类通常包括发行权、出租权、信息网络传播权、复制权、翻译权和其他权利。</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（一）发行权，即以出售或者赠与方式向公众提供软件的原件或者复制件的权利</w:t>
      </w:r>
      <w:r>
        <w:rPr>
          <w:rFonts w:ascii="仿宋_GB2312" w:eastAsia="仿宋_GB2312" w:hAnsi="宋体" w:cs="仿宋_GB2312" w:hint="eastAsia"/>
          <w:color w:val="000000"/>
          <w:sz w:val="32"/>
          <w:szCs w:val="32"/>
          <w:lang w:bidi="ar"/>
        </w:rPr>
        <w:t>；</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（二）出租权，即有偿许可他人临时使用软件的权利，但是软件不是出租的主要标的的除外</w:t>
      </w:r>
      <w:r>
        <w:rPr>
          <w:rFonts w:ascii="仿宋_GB2312" w:eastAsia="仿宋_GB2312" w:hAnsi="宋体" w:cs="仿宋_GB2312" w:hint="eastAsia"/>
          <w:color w:val="000000"/>
          <w:sz w:val="32"/>
          <w:szCs w:val="32"/>
          <w:lang w:bidi="ar"/>
        </w:rPr>
        <w:t>；</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（三）信息网络传播权，即以有线或者无线方式向公众提供软件，使公众可以在其个人选定的时间和地点获得软件的权利。</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lastRenderedPageBreak/>
        <w:t>（四）复制权，即将软件制作一份或者多份的权利</w:t>
      </w:r>
      <w:r>
        <w:rPr>
          <w:rFonts w:ascii="仿宋_GB2312" w:eastAsia="仿宋_GB2312" w:hAnsi="宋体" w:cs="仿宋_GB2312" w:hint="eastAsia"/>
          <w:color w:val="000000"/>
          <w:sz w:val="32"/>
          <w:szCs w:val="32"/>
          <w:lang w:bidi="ar"/>
        </w:rPr>
        <w:t>；</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（五）翻译权，即将原软件从一种自然语言文字转换成另一种自然语言文字的权利</w:t>
      </w:r>
      <w:r>
        <w:rPr>
          <w:rFonts w:ascii="仿宋_GB2312" w:eastAsia="仿宋_GB2312" w:hAnsi="宋体" w:cs="仿宋_GB2312" w:hint="eastAsia"/>
          <w:color w:val="000000"/>
          <w:sz w:val="32"/>
          <w:szCs w:val="32"/>
          <w:lang w:bidi="ar"/>
        </w:rPr>
        <w:t>；</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（六）其他权利，为</w:t>
      </w:r>
      <w:r>
        <w:rPr>
          <w:rFonts w:ascii="仿宋_GB2312" w:eastAsia="仿宋_GB2312" w:hAnsi="宋体" w:cs="仿宋_GB2312"/>
          <w:color w:val="000000"/>
          <w:sz w:val="32"/>
          <w:szCs w:val="32"/>
          <w:lang w:bidi="ar"/>
        </w:rPr>
        <w:t>“</w:t>
      </w:r>
      <w:r>
        <w:rPr>
          <w:rFonts w:ascii="仿宋_GB2312" w:eastAsia="仿宋_GB2312" w:hAnsi="宋体" w:cs="仿宋_GB2312"/>
          <w:color w:val="000000"/>
          <w:sz w:val="32"/>
          <w:szCs w:val="32"/>
          <w:lang w:bidi="ar"/>
        </w:rPr>
        <w:t>兜底</w:t>
      </w:r>
      <w:r>
        <w:rPr>
          <w:rFonts w:ascii="仿宋_GB2312" w:eastAsia="仿宋_GB2312" w:hAnsi="宋体" w:cs="仿宋_GB2312"/>
          <w:color w:val="000000"/>
          <w:sz w:val="32"/>
          <w:szCs w:val="32"/>
          <w:lang w:bidi="ar"/>
        </w:rPr>
        <w:t>”</w:t>
      </w:r>
      <w:r>
        <w:rPr>
          <w:rFonts w:ascii="仿宋_GB2312" w:eastAsia="仿宋_GB2312" w:hAnsi="宋体" w:cs="仿宋_GB2312"/>
          <w:color w:val="000000"/>
          <w:sz w:val="32"/>
          <w:szCs w:val="32"/>
          <w:lang w:bidi="ar"/>
        </w:rPr>
        <w:t>条款。从目前国内著作权司法实践看，主要为注释权（即作者对已有作品或者材料进行解释或者说明的权利）等。</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第八条</w:t>
      </w:r>
      <w:r>
        <w:rPr>
          <w:rFonts w:ascii="仿宋_GB2312" w:eastAsia="仿宋_GB2312" w:hAnsi="Calibri" w:cs="华文仿宋" w:hint="eastAsia"/>
          <w:sz w:val="32"/>
          <w:szCs w:val="32"/>
        </w:rPr>
        <w:t xml:space="preserve">  计算机软件著作权资产评估对象通常存在下列组成形式：</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（一）单个计算机软件著作权中的单项财产权利，即计算机软件著作权</w:t>
      </w:r>
      <w:r>
        <w:rPr>
          <w:rFonts w:ascii="仿宋_GB2312" w:eastAsia="仿宋_GB2312" w:hAnsi="宋体" w:cs="仿宋_GB2312" w:hint="eastAsia"/>
          <w:color w:val="000000"/>
          <w:sz w:val="32"/>
          <w:szCs w:val="32"/>
          <w:lang w:bidi="ar"/>
        </w:rPr>
        <w:t>全部</w:t>
      </w:r>
      <w:r>
        <w:rPr>
          <w:rFonts w:ascii="仿宋_GB2312" w:eastAsia="仿宋_GB2312" w:hAnsi="宋体" w:cs="仿宋_GB2312"/>
          <w:color w:val="000000"/>
          <w:sz w:val="32"/>
          <w:szCs w:val="32"/>
          <w:lang w:bidi="ar"/>
        </w:rPr>
        <w:t>财产权利中的某一项</w:t>
      </w:r>
      <w:r>
        <w:rPr>
          <w:rFonts w:ascii="仿宋_GB2312" w:eastAsia="仿宋_GB2312" w:hAnsi="宋体" w:cs="仿宋_GB2312" w:hint="eastAsia"/>
          <w:color w:val="000000"/>
          <w:sz w:val="32"/>
          <w:szCs w:val="32"/>
          <w:lang w:bidi="ar"/>
        </w:rPr>
        <w:t>；</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（二）单个计算机软件著作权中的多项财产权利的组合，即计算机软件著作权</w:t>
      </w:r>
      <w:r>
        <w:rPr>
          <w:rFonts w:ascii="仿宋_GB2312" w:eastAsia="仿宋_GB2312" w:hAnsi="宋体" w:cs="仿宋_GB2312" w:hint="eastAsia"/>
          <w:color w:val="000000"/>
          <w:sz w:val="32"/>
          <w:szCs w:val="32"/>
          <w:lang w:bidi="ar"/>
        </w:rPr>
        <w:t>全部</w:t>
      </w:r>
      <w:r>
        <w:rPr>
          <w:rFonts w:ascii="仿宋_GB2312" w:eastAsia="仿宋_GB2312" w:hAnsi="宋体" w:cs="仿宋_GB2312"/>
          <w:color w:val="000000"/>
          <w:sz w:val="32"/>
          <w:szCs w:val="32"/>
          <w:lang w:bidi="ar"/>
        </w:rPr>
        <w:t>财产权利中的多项组合</w:t>
      </w:r>
      <w:r>
        <w:rPr>
          <w:rFonts w:ascii="仿宋_GB2312" w:eastAsia="仿宋_GB2312" w:hAnsi="宋体" w:cs="仿宋_GB2312" w:hint="eastAsia"/>
          <w:color w:val="000000"/>
          <w:sz w:val="32"/>
          <w:szCs w:val="32"/>
          <w:lang w:bidi="ar"/>
        </w:rPr>
        <w:t>；</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（三）分属于不同著作权的单项或者多项财产权利的组合，即计算机软件著作权</w:t>
      </w:r>
      <w:r>
        <w:rPr>
          <w:rFonts w:ascii="仿宋_GB2312" w:eastAsia="仿宋_GB2312" w:hAnsi="宋体" w:cs="仿宋_GB2312" w:hint="eastAsia"/>
          <w:color w:val="000000"/>
          <w:sz w:val="32"/>
          <w:szCs w:val="32"/>
          <w:lang w:bidi="ar"/>
        </w:rPr>
        <w:t>全部</w:t>
      </w:r>
      <w:r>
        <w:rPr>
          <w:rFonts w:ascii="仿宋_GB2312" w:eastAsia="仿宋_GB2312" w:hAnsi="宋体" w:cs="仿宋_GB2312"/>
          <w:color w:val="000000"/>
          <w:sz w:val="32"/>
          <w:szCs w:val="32"/>
          <w:lang w:bidi="ar"/>
        </w:rPr>
        <w:t>财产权利中的单项或者多项，与其他作品著作权财产权利中的单项或者多项进行的组合</w:t>
      </w:r>
      <w:r>
        <w:rPr>
          <w:rFonts w:ascii="仿宋_GB2312" w:eastAsia="仿宋_GB2312" w:hAnsi="宋体" w:cs="仿宋_GB2312" w:hint="eastAsia"/>
          <w:color w:val="000000"/>
          <w:sz w:val="32"/>
          <w:szCs w:val="32"/>
          <w:lang w:bidi="ar"/>
        </w:rPr>
        <w:t>；</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以游戏软件评估为例，游戏软件一般由游戏引擎和游戏资源两大部分组成，其中游戏引擎主要为实现游戏功能的程序代码以及有关文档（涉及计算机软件著作权）；而游戏资源包括程序运行所需图像、声音、视频等数据内容（涉及其他作品著作权）。</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（四）计算机软件著作权中财产权和与计算机软件著作权有关权利的财产权益的组合</w:t>
      </w:r>
      <w:r>
        <w:rPr>
          <w:rFonts w:ascii="仿宋_GB2312" w:eastAsia="仿宋_GB2312" w:hAnsi="宋体" w:cs="仿宋_GB2312" w:hint="eastAsia"/>
          <w:color w:val="000000"/>
          <w:sz w:val="32"/>
          <w:szCs w:val="32"/>
          <w:lang w:bidi="ar"/>
        </w:rPr>
        <w:t>；</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（五）在权利客体不可分割或者不需要分割的情况下，计算</w:t>
      </w:r>
      <w:r>
        <w:rPr>
          <w:rFonts w:ascii="仿宋_GB2312" w:eastAsia="仿宋_GB2312" w:hAnsi="宋体" w:cs="仿宋_GB2312"/>
          <w:color w:val="000000"/>
          <w:sz w:val="32"/>
          <w:szCs w:val="32"/>
          <w:lang w:bidi="ar"/>
        </w:rPr>
        <w:lastRenderedPageBreak/>
        <w:t>机软件著作权资产与其他无形资产的组合。</w:t>
      </w:r>
    </w:p>
    <w:p w:rsidR="0028646B" w:rsidRDefault="0068618A" w:rsidP="00783E27">
      <w:pPr>
        <w:wordWrap w:val="0"/>
        <w:spacing w:line="578" w:lineRule="exact"/>
        <w:ind w:firstLineChars="200" w:firstLine="630"/>
        <w:rPr>
          <w:rFonts w:ascii="仿宋_GB2312"/>
          <w:sz w:val="32"/>
          <w:szCs w:val="32"/>
        </w:rPr>
      </w:pPr>
      <w:r>
        <w:rPr>
          <w:rFonts w:ascii="仿宋_GB2312" w:eastAsia="仿宋_GB2312" w:hAnsi="宋体" w:cs="仿宋_GB2312"/>
          <w:color w:val="000000"/>
          <w:sz w:val="32"/>
          <w:szCs w:val="32"/>
          <w:lang w:bidi="ar"/>
        </w:rPr>
        <w:t>例如，计算机软件著作权与其相应的软件发明专利构成的组合。由于对计算机软件著作权的保护，主要致力于保护其表达形式，而软件发明专利的权利要求可延及开发软件所用的设计思想；实践中，计算机程序的设计思想与其表达形式之间往往相互渗透，难以区分范围界限，一般作为一个整体资产组进行评估。</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第九条</w:t>
      </w:r>
      <w:r>
        <w:rPr>
          <w:rFonts w:ascii="仿宋_GB2312" w:eastAsia="仿宋_GB2312" w:hAnsi="Calibri" w:cs="华文仿宋" w:hint="eastAsia"/>
          <w:sz w:val="32"/>
          <w:szCs w:val="32"/>
        </w:rPr>
        <w:t xml:space="preserve">  对于计算机软件，通常有以下三种分类方法：</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（一）按作用划分</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根据《软件产品分类》（GB/T 36475-2018）国家标准，软件产品可分为系统软件、支撑软件、应用软件、嵌入式软件、信息安全软件、工业软件和其他软件七大类。</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（二）按规模划分</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按照软件开发所需要的人员数量、开发期限以及源程序行数，一般将软件划分为微型、小型、中型、大型和超大型这五种等级。</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（三）按运营模式分</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计算机软件著作权财产权有两种主要的收益方式：销售型（直接收益型）和使用型（间接收益型）。前一种主要是通对销售其作品从而获得直接收益。后一种是指通过使用该作品的方式间接实现其收益。</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第十条</w:t>
      </w:r>
      <w:r>
        <w:rPr>
          <w:rFonts w:ascii="仿宋_GB2312" w:eastAsia="仿宋_GB2312" w:hAnsi="Calibri" w:cs="华文仿宋" w:hint="eastAsia"/>
          <w:sz w:val="32"/>
          <w:szCs w:val="32"/>
        </w:rPr>
        <w:t xml:space="preserve">  执行计算机软件著作权资产评估业务时，资产评估专业人员可以通过委托人提供、相关当事人提供、自主收集等方式获取计算机软件著作权资产的基本状况。计算机软件著作权资</w:t>
      </w:r>
      <w:r>
        <w:rPr>
          <w:rFonts w:ascii="仿宋_GB2312" w:eastAsia="仿宋_GB2312" w:hAnsi="Calibri" w:cs="华文仿宋" w:hint="eastAsia"/>
          <w:sz w:val="32"/>
          <w:szCs w:val="32"/>
        </w:rPr>
        <w:lastRenderedPageBreak/>
        <w:t>产的基本状况通常包括：作品作者和计算机软件著作权权利人的基本情况、作品基本情况（包括开发完成日期、首次发表日期、权利范围、开发技术情况、作品使用情况等）、权利取得方式、计算机软件著作权和与计算机软件著作权有关权利的情况、与作品相关的其他无形资产权利的情况等。</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第十一条</w:t>
      </w:r>
      <w:r>
        <w:rPr>
          <w:rFonts w:ascii="仿宋_GB2312" w:eastAsia="仿宋_GB2312" w:hAnsi="Calibri" w:cs="华文仿宋" w:hint="eastAsia"/>
          <w:sz w:val="32"/>
          <w:szCs w:val="32"/>
        </w:rPr>
        <w:t xml:space="preserve">  计算机软件著作权的法律因素通常包括计算机软件著作权和与计算机软件著作权有关权利登记情况、权利属性、权利限制以及权利维护情况等。关注计算机软件著作权的具体形式、历史诉讼以及质押情况等法律因素，可以帮助评估专业人员判断法律因素对计算机软件著作权资产价值的影响程度。</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第十二条</w:t>
      </w:r>
      <w:r>
        <w:rPr>
          <w:rFonts w:ascii="仿宋_GB2312" w:eastAsia="仿宋_GB2312" w:hAnsi="Calibri" w:cs="华文仿宋" w:hint="eastAsia"/>
          <w:sz w:val="32"/>
          <w:szCs w:val="32"/>
        </w:rPr>
        <w:t xml:space="preserve">  计算机软件著作权的经济因素通常包括计算机软件著作权资产的取得成本、运营模式、获利状况、作品的使用范围、市场需求、同类产品的竞争状况、著作权剩余法定保护期限以及剩余经济寿命、同类作品近期的市场交易及成交价格情况、宏观经济发展和相关行业政策与作品市场发展状况等。通过对经济因素情况的分析，资产评估专业人员可以判断经济因素对计算机软件著作权资产价值的影响程度。</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第十三条</w:t>
      </w:r>
      <w:r>
        <w:rPr>
          <w:rFonts w:ascii="仿宋_GB2312" w:eastAsia="仿宋_GB2312" w:hAnsi="Calibri" w:cs="华文仿宋" w:hint="eastAsia"/>
          <w:sz w:val="32"/>
          <w:szCs w:val="32"/>
        </w:rPr>
        <w:t xml:space="preserve">  计算机软件著作权资产的使用须符合相关法律法规的要求。如果使用不当，可能会损害社会公共利益、侵犯用户合法权益以及影响互联网行业的健康发展（例如计算机病毒、恶意软件等）。计算机软件著作权资产在实际应用中需要考虑合法性，资产评估专业人员应当关注此类事项对计算机软件著作权</w:t>
      </w:r>
      <w:r>
        <w:rPr>
          <w:rFonts w:ascii="仿宋_GB2312" w:eastAsia="仿宋_GB2312" w:hAnsi="Calibri" w:cs="华文仿宋" w:hint="eastAsia"/>
          <w:sz w:val="32"/>
          <w:szCs w:val="32"/>
        </w:rPr>
        <w:lastRenderedPageBreak/>
        <w:t>资产评估的影响。</w:t>
      </w:r>
    </w:p>
    <w:p w:rsidR="0028646B" w:rsidRDefault="0068618A" w:rsidP="00783E27">
      <w:pPr>
        <w:numPr>
          <w:ilvl w:val="255"/>
          <w:numId w:val="0"/>
        </w:numPr>
        <w:spacing w:line="578" w:lineRule="exact"/>
        <w:ind w:firstLineChars="200" w:firstLine="633"/>
        <w:rPr>
          <w:rFonts w:ascii="仿宋_GB2312"/>
          <w:spacing w:val="-2"/>
          <w:sz w:val="32"/>
          <w:szCs w:val="32"/>
        </w:rPr>
      </w:pPr>
      <w:r>
        <w:rPr>
          <w:rFonts w:ascii="仿宋_GB2312" w:eastAsia="仿宋_GB2312" w:hAnsi="Calibri" w:cs="华文仿宋" w:hint="eastAsia"/>
          <w:b/>
          <w:bCs/>
          <w:sz w:val="32"/>
          <w:szCs w:val="32"/>
        </w:rPr>
        <w:t>第十四条</w:t>
      </w:r>
      <w:r>
        <w:rPr>
          <w:rFonts w:ascii="仿宋_GB2312" w:eastAsia="仿宋_GB2312" w:hAnsi="Calibri" w:cs="华文仿宋" w:hint="eastAsia"/>
          <w:sz w:val="32"/>
          <w:szCs w:val="32"/>
        </w:rPr>
        <w:t xml:space="preserve">  执行计算机软件著作权资产评估业务，资产评估专业人员应当关注计算机软件著作权的权利归属及权利稳定性。</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根据《中华人民共和国著作权法》《著作权法实施条例》相关规定，著作权自作品创作完成之日起产生，即作品不论是否登记，作者或其他著作权人依法取得的著作权不受影响。同时，中国</w:t>
      </w:r>
      <w:r>
        <w:rPr>
          <w:rFonts w:ascii="仿宋_GB2312" w:eastAsia="仿宋_GB2312" w:hAnsi="宋体" w:cs="仿宋_GB2312" w:hint="eastAsia"/>
          <w:color w:val="000000"/>
          <w:sz w:val="32"/>
          <w:szCs w:val="32"/>
          <w:lang w:bidi="ar"/>
        </w:rPr>
        <w:t>计算机软件</w:t>
      </w:r>
      <w:r>
        <w:rPr>
          <w:rFonts w:ascii="仿宋_GB2312" w:eastAsia="仿宋_GB2312" w:hAnsi="宋体" w:cs="仿宋_GB2312"/>
          <w:color w:val="000000"/>
          <w:sz w:val="32"/>
          <w:szCs w:val="32"/>
          <w:lang w:bidi="ar"/>
        </w:rPr>
        <w:t>著作权登记是形式审查</w:t>
      </w:r>
      <w:r>
        <w:rPr>
          <w:rFonts w:ascii="仿宋_GB2312" w:eastAsia="仿宋_GB2312" w:hAnsi="宋体" w:cs="仿宋_GB2312" w:hint="eastAsia"/>
          <w:color w:val="000000"/>
          <w:sz w:val="32"/>
          <w:szCs w:val="32"/>
          <w:lang w:bidi="ar"/>
        </w:rPr>
        <w:t>，软件登记机构发放的登记证明文件仅是登记事项的初步证明。因此，除获取计算机软件著作权登记证书外，资产评估专业人员还可以要求</w:t>
      </w:r>
      <w:r>
        <w:rPr>
          <w:rFonts w:ascii="仿宋_GB2312" w:eastAsia="仿宋_GB2312" w:hAnsi="宋体" w:cs="仿宋_GB2312"/>
          <w:color w:val="000000"/>
          <w:sz w:val="32"/>
          <w:szCs w:val="32"/>
          <w:lang w:bidi="ar"/>
        </w:rPr>
        <w:t>委托人和其他相关当事人提供</w:t>
      </w:r>
      <w:r>
        <w:rPr>
          <w:rFonts w:ascii="仿宋_GB2312" w:eastAsia="仿宋_GB2312" w:hAnsi="宋体" w:cs="仿宋_GB2312" w:hint="eastAsia"/>
          <w:color w:val="000000"/>
          <w:sz w:val="32"/>
          <w:szCs w:val="32"/>
          <w:lang w:bidi="ar"/>
        </w:rPr>
        <w:t>其他材料（</w:t>
      </w:r>
      <w:r>
        <w:rPr>
          <w:rFonts w:ascii="仿宋_GB2312" w:eastAsia="仿宋_GB2312" w:hAnsi="宋体" w:cs="仿宋_GB2312"/>
          <w:color w:val="000000"/>
          <w:sz w:val="32"/>
          <w:szCs w:val="32"/>
          <w:lang w:bidi="ar"/>
        </w:rPr>
        <w:t>如</w:t>
      </w:r>
      <w:r>
        <w:rPr>
          <w:rFonts w:ascii="仿宋_GB2312" w:eastAsia="仿宋_GB2312" w:hAnsi="宋体" w:cs="仿宋_GB2312" w:hint="eastAsia"/>
          <w:color w:val="000000"/>
          <w:sz w:val="32"/>
          <w:szCs w:val="32"/>
          <w:lang w:bidi="ar"/>
        </w:rPr>
        <w:t>计算机软件</w:t>
      </w:r>
      <w:r>
        <w:rPr>
          <w:rFonts w:ascii="仿宋_GB2312" w:eastAsia="仿宋_GB2312" w:hAnsi="宋体" w:cs="仿宋_GB2312"/>
          <w:color w:val="000000"/>
          <w:sz w:val="32"/>
          <w:szCs w:val="32"/>
          <w:lang w:bidi="ar"/>
        </w:rPr>
        <w:t>著作权的底稿、合法出版物、认证机构出具的证明、取得权利的合同等</w:t>
      </w:r>
      <w:r>
        <w:rPr>
          <w:rFonts w:ascii="仿宋_GB2312" w:eastAsia="仿宋_GB2312" w:hAnsi="宋体" w:cs="仿宋_GB2312" w:hint="eastAsia"/>
          <w:color w:val="000000"/>
          <w:sz w:val="32"/>
          <w:szCs w:val="32"/>
          <w:lang w:bidi="ar"/>
        </w:rPr>
        <w:t>），从而进一步核查评估对象的权利归属及权利稳定性</w:t>
      </w:r>
      <w:r>
        <w:rPr>
          <w:rFonts w:ascii="仿宋_GB2312" w:eastAsia="仿宋_GB2312" w:hAnsi="宋体" w:cs="仿宋_GB2312"/>
          <w:color w:val="000000"/>
          <w:sz w:val="32"/>
          <w:szCs w:val="32"/>
          <w:lang w:bidi="ar"/>
        </w:rPr>
        <w:t>。</w:t>
      </w:r>
    </w:p>
    <w:p w:rsidR="0028646B" w:rsidRDefault="0068618A">
      <w:pPr>
        <w:pStyle w:val="2"/>
        <w:spacing w:beforeLines="100" w:before="579" w:afterLines="100" w:after="579" w:line="578" w:lineRule="exact"/>
        <w:jc w:val="center"/>
        <w:rPr>
          <w:rFonts w:ascii="黑体" w:hAnsi="黑体"/>
          <w:b w:val="0"/>
          <w:szCs w:val="32"/>
        </w:rPr>
      </w:pPr>
      <w:r>
        <w:rPr>
          <w:rFonts w:ascii="黑体" w:hAnsi="黑体" w:hint="eastAsia"/>
          <w:b w:val="0"/>
          <w:szCs w:val="32"/>
        </w:rPr>
        <w:t>第三章  计算机软件著作权资产评估方法</w:t>
      </w:r>
    </w:p>
    <w:p w:rsidR="0028646B" w:rsidRDefault="0068618A" w:rsidP="00783E27">
      <w:pPr>
        <w:numPr>
          <w:ilvl w:val="255"/>
          <w:numId w:val="0"/>
        </w:numPr>
        <w:spacing w:line="578" w:lineRule="exact"/>
        <w:ind w:firstLineChars="200" w:firstLine="633"/>
        <w:rPr>
          <w:rFonts w:ascii="仿宋_GB2312"/>
          <w:spacing w:val="-2"/>
          <w:sz w:val="32"/>
          <w:szCs w:val="32"/>
        </w:rPr>
      </w:pPr>
      <w:r>
        <w:rPr>
          <w:rFonts w:ascii="仿宋_GB2312" w:eastAsia="仿宋_GB2312" w:hAnsi="Calibri" w:cs="华文仿宋" w:hint="eastAsia"/>
          <w:b/>
          <w:bCs/>
          <w:sz w:val="32"/>
          <w:szCs w:val="32"/>
        </w:rPr>
        <w:t>第十五条</w:t>
      </w:r>
      <w:r>
        <w:rPr>
          <w:rFonts w:ascii="仿宋_GB2312" w:eastAsia="仿宋_GB2312" w:hAnsi="Calibri" w:cs="华文仿宋" w:hint="eastAsia"/>
          <w:sz w:val="32"/>
          <w:szCs w:val="32"/>
        </w:rPr>
        <w:t xml:space="preserve">  计算机软件著作权资产价值的评估方法包括市场法、收益法和成本法三种基本方法及其衍生方法。</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执行计算机软件著作权资产评估业务，应当根据评估目的、评估对象、价值类型、资料收集等情况，分析上述三种基本方法的适用性，选择评估方法。</w:t>
      </w:r>
    </w:p>
    <w:p w:rsidR="0028646B" w:rsidRDefault="0068618A" w:rsidP="00783E27">
      <w:pPr>
        <w:numPr>
          <w:ilvl w:val="255"/>
          <w:numId w:val="0"/>
        </w:numPr>
        <w:spacing w:line="578" w:lineRule="exact"/>
        <w:ind w:firstLineChars="200" w:firstLine="633"/>
        <w:rPr>
          <w:rFonts w:ascii="仿宋_GB2312" w:eastAsia="仿宋_GB2312" w:hAnsi="宋体" w:cs="仿宋_GB2312"/>
          <w:color w:val="000000"/>
          <w:sz w:val="32"/>
          <w:szCs w:val="32"/>
          <w:lang w:bidi="ar"/>
        </w:rPr>
      </w:pPr>
      <w:r>
        <w:rPr>
          <w:rFonts w:ascii="仿宋_GB2312" w:eastAsia="仿宋_GB2312" w:hAnsi="Calibri" w:cs="华文仿宋" w:hint="eastAsia"/>
          <w:b/>
          <w:bCs/>
          <w:sz w:val="32"/>
          <w:szCs w:val="32"/>
        </w:rPr>
        <w:t>第十六条</w:t>
      </w:r>
      <w:r>
        <w:rPr>
          <w:rFonts w:ascii="仿宋_GB2312" w:eastAsia="仿宋_GB2312" w:hAnsi="Calibri" w:cs="华文仿宋" w:hint="eastAsia"/>
          <w:sz w:val="32"/>
          <w:szCs w:val="32"/>
        </w:rPr>
        <w:t xml:space="preserve">  对于成本法，计算机软件著作权资产的价值由该资产的重置成本扣减各项贬值确定。其基本计算公式为：</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lastRenderedPageBreak/>
        <w:t>评估值＝重置成本－功能性贬值－经济性贬值</w:t>
      </w:r>
    </w:p>
    <w:p w:rsidR="0028646B" w:rsidRDefault="0068618A" w:rsidP="00783E27">
      <w:pPr>
        <w:numPr>
          <w:ilvl w:val="255"/>
          <w:numId w:val="0"/>
        </w:numPr>
        <w:spacing w:line="578" w:lineRule="exact"/>
        <w:ind w:firstLineChars="200" w:firstLine="633"/>
        <w:rPr>
          <w:rFonts w:ascii="仿宋_GB2312"/>
          <w:sz w:val="32"/>
          <w:szCs w:val="32"/>
        </w:rPr>
      </w:pPr>
      <w:r>
        <w:rPr>
          <w:rFonts w:ascii="仿宋_GB2312" w:eastAsia="仿宋_GB2312" w:hAnsi="Calibri" w:cs="华文仿宋" w:hint="eastAsia"/>
          <w:b/>
          <w:bCs/>
          <w:sz w:val="32"/>
          <w:szCs w:val="32"/>
        </w:rPr>
        <w:t>第十七条</w:t>
      </w:r>
      <w:r>
        <w:rPr>
          <w:rFonts w:ascii="仿宋_GB2312" w:eastAsia="仿宋_GB2312" w:hAnsi="Calibri" w:cs="华文仿宋" w:hint="eastAsia"/>
          <w:sz w:val="32"/>
          <w:szCs w:val="32"/>
        </w:rPr>
        <w:t xml:space="preserve">  使用成本法执行计算机软件著作权资产评估业务时，首先要根据计算机软件著作权资产形成的全部投入，分析计算机软件著作权资产价值与成本的相关程度，考虑成本法的适用性。然后关注计算机软件著作权的来源，区分外购软件及自创软件，采用不同方式分别考虑。最后确定计算机软件著作权资产的重置成本。计算机软件著作权资产的重置成本包括直接成本、间接费用、合理利润及相关税费等。</w:t>
      </w:r>
    </w:p>
    <w:p w:rsidR="0028646B" w:rsidRDefault="0068618A" w:rsidP="00783E27">
      <w:pPr>
        <w:numPr>
          <w:ilvl w:val="255"/>
          <w:numId w:val="0"/>
        </w:numPr>
        <w:spacing w:line="578" w:lineRule="exact"/>
        <w:ind w:firstLineChars="200" w:firstLine="633"/>
        <w:rPr>
          <w:rFonts w:ascii="仿宋_GB2312"/>
          <w:spacing w:val="-2"/>
          <w:sz w:val="32"/>
          <w:szCs w:val="32"/>
        </w:rPr>
      </w:pPr>
      <w:r>
        <w:rPr>
          <w:rFonts w:ascii="仿宋_GB2312" w:eastAsia="仿宋_GB2312" w:hAnsi="Calibri" w:cs="华文仿宋" w:hint="eastAsia"/>
          <w:b/>
          <w:bCs/>
          <w:sz w:val="32"/>
          <w:szCs w:val="32"/>
        </w:rPr>
        <w:t>第十八条</w:t>
      </w:r>
      <w:r>
        <w:rPr>
          <w:rFonts w:ascii="仿宋_GB2312" w:eastAsia="仿宋_GB2312" w:hAnsi="Calibri" w:cs="华文仿宋" w:hint="eastAsia"/>
          <w:sz w:val="32"/>
          <w:szCs w:val="32"/>
        </w:rPr>
        <w:t xml:space="preserve">  在成本法中，外购计算机软件著作权重置成本具体评估方法如市价类比法等；自创计算机软件著作权重置成本具体评估方法如重置核算法等。</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第十九条</w:t>
      </w:r>
      <w:r>
        <w:rPr>
          <w:rFonts w:ascii="仿宋_GB2312" w:eastAsia="仿宋_GB2312" w:hAnsi="Calibri" w:cs="华文仿宋" w:hint="eastAsia"/>
          <w:sz w:val="32"/>
          <w:szCs w:val="32"/>
        </w:rPr>
        <w:t xml:space="preserve">  在计算机软件著作权重置成本确定过程中，可利用软件开发行业中主流软件成本估算模型进行考虑，例如构造性成本模型(Constructive Cost Model，COCOMO)等。</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第二十条</w:t>
      </w:r>
      <w:r>
        <w:rPr>
          <w:rFonts w:ascii="仿宋_GB2312" w:eastAsia="仿宋_GB2312" w:hAnsi="Calibri" w:cs="华文仿宋" w:hint="eastAsia"/>
          <w:sz w:val="32"/>
          <w:szCs w:val="32"/>
        </w:rPr>
        <w:t xml:space="preserve">  采用成本法进行计算机软件著作权资产评估时，需要合理确定贬值。计算机软件著作权资产贬值主要包括：功能性贬值和经济性贬值。计算机软件著作权贬值的确定可以采用专家鉴定法和剩余经济寿命预测法等。</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第二十一条</w:t>
      </w:r>
      <w:r>
        <w:rPr>
          <w:rFonts w:ascii="仿宋_GB2312" w:eastAsia="仿宋_GB2312" w:hAnsi="Calibri" w:cs="华文仿宋" w:hint="eastAsia"/>
          <w:sz w:val="32"/>
          <w:szCs w:val="32"/>
        </w:rPr>
        <w:t xml:space="preserve">  收益法评估计算机软件著作权资产时，计算机软件著作权资产作为经营资产直接产生收益，其价值实现方式有销售型（直接收益型）和使用型（间接收益型）等。</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第二十二条</w:t>
      </w:r>
      <w:r>
        <w:rPr>
          <w:rFonts w:ascii="仿宋_GB2312" w:eastAsia="仿宋_GB2312" w:hAnsi="Calibri" w:cs="华文仿宋" w:hint="eastAsia"/>
          <w:sz w:val="32"/>
          <w:szCs w:val="32"/>
        </w:rPr>
        <w:t xml:space="preserve">  收益法评估基本计算公式为：</w:t>
      </w:r>
    </w:p>
    <w:p w:rsidR="0028646B" w:rsidRDefault="0028646B" w:rsidP="00783E27">
      <w:pPr>
        <w:numPr>
          <w:ilvl w:val="255"/>
          <w:numId w:val="0"/>
        </w:numPr>
        <w:spacing w:line="578" w:lineRule="exact"/>
        <w:ind w:leftChars="200" w:left="410"/>
        <w:rPr>
          <w:rFonts w:ascii="仿宋_GB2312" w:eastAsia="仿宋_GB2312" w:hAnsi="Calibri" w:cs="华文仿宋"/>
          <w:sz w:val="32"/>
          <w:szCs w:val="32"/>
        </w:rPr>
      </w:pPr>
    </w:p>
    <w:p w:rsidR="0028646B" w:rsidRDefault="0068618A" w:rsidP="00783E27">
      <w:pPr>
        <w:spacing w:line="578" w:lineRule="exact"/>
        <w:ind w:leftChars="200" w:left="410" w:firstLineChars="200" w:firstLine="410"/>
        <w:rPr>
          <w:rFonts w:ascii="仿宋_GB2312"/>
          <w:spacing w:val="-2"/>
          <w:sz w:val="32"/>
          <w:szCs w:val="32"/>
        </w:rPr>
      </w:pPr>
      <w:r>
        <w:rPr>
          <w:noProof/>
        </w:rPr>
        <w:drawing>
          <wp:anchor distT="0" distB="0" distL="0" distR="0" simplePos="0" relativeHeight="251665408" behindDoc="0" locked="0" layoutInCell="1" allowOverlap="1">
            <wp:simplePos x="0" y="0"/>
            <wp:positionH relativeFrom="column">
              <wp:posOffset>533400</wp:posOffset>
            </wp:positionH>
            <wp:positionV relativeFrom="paragraph">
              <wp:posOffset>-248920</wp:posOffset>
            </wp:positionV>
            <wp:extent cx="1471930" cy="525780"/>
            <wp:effectExtent l="0" t="0" r="1270"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1505001" cy="537500"/>
                    </a:xfrm>
                    <a:prstGeom prst="rect">
                      <a:avLst/>
                    </a:prstGeom>
                  </pic:spPr>
                </pic:pic>
              </a:graphicData>
            </a:graphic>
          </wp:anchor>
        </w:drawing>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其中：</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m:oMath>
        <m:r>
          <w:rPr>
            <w:rFonts w:ascii="Cambria Math" w:eastAsia="仿宋_GB2312" w:hAnsi="Cambria Math" w:hint="eastAsia"/>
            <w:color w:val="000000" w:themeColor="text1"/>
            <w:sz w:val="32"/>
            <w:szCs w:val="32"/>
          </w:rPr>
          <m:t>P</m:t>
        </m:r>
      </m:oMath>
      <w:r>
        <w:rPr>
          <w:rFonts w:ascii="仿宋_GB2312" w:eastAsia="仿宋_GB2312" w:hAnsi="宋体" w:cs="仿宋_GB2312"/>
          <w:color w:val="000000"/>
          <w:sz w:val="32"/>
          <w:szCs w:val="32"/>
          <w:lang w:bidi="ar"/>
        </w:rPr>
        <w:t>－收益法评估值;</w:t>
      </w:r>
    </w:p>
    <w:p w:rsidR="0028646B" w:rsidRDefault="00DC38F8" w:rsidP="00783E27">
      <w:pPr>
        <w:wordWrap w:val="0"/>
        <w:spacing w:line="578" w:lineRule="exact"/>
        <w:ind w:firstLineChars="200" w:firstLine="630"/>
        <w:rPr>
          <w:rFonts w:ascii="仿宋_GB2312" w:eastAsia="仿宋_GB2312" w:hAnsi="宋体" w:cs="仿宋_GB2312"/>
          <w:color w:val="000000"/>
          <w:sz w:val="32"/>
          <w:szCs w:val="32"/>
          <w:lang w:bidi="ar"/>
        </w:rPr>
      </w:pPr>
      <m:oMath>
        <m:sSub>
          <m:sSubPr>
            <m:ctrlPr>
              <w:rPr>
                <w:rFonts w:ascii="Cambria Math" w:eastAsia="仿宋_GB2312" w:hAnsi="Cambria Math" w:hint="eastAsia"/>
                <w:i/>
                <w:color w:val="000000" w:themeColor="text1"/>
                <w:sz w:val="32"/>
                <w:szCs w:val="32"/>
              </w:rPr>
            </m:ctrlPr>
          </m:sSubPr>
          <m:e>
            <m:r>
              <w:rPr>
                <w:rFonts w:ascii="Cambria Math" w:eastAsia="仿宋_GB2312" w:hAnsi="Cambria Math" w:hint="eastAsia"/>
                <w:color w:val="000000" w:themeColor="text1"/>
                <w:sz w:val="32"/>
                <w:szCs w:val="32"/>
              </w:rPr>
              <m:t>F</m:t>
            </m:r>
          </m:e>
          <m:sub>
            <m:r>
              <w:rPr>
                <w:rFonts w:ascii="Cambria Math" w:eastAsia="仿宋_GB2312" w:hAnsi="Cambria Math" w:hint="eastAsia"/>
                <w:color w:val="000000" w:themeColor="text1"/>
                <w:sz w:val="32"/>
                <w:szCs w:val="32"/>
              </w:rPr>
              <m:t>t</m:t>
            </m:r>
          </m:sub>
        </m:sSub>
      </m:oMath>
      <w:r w:rsidR="0068618A">
        <w:rPr>
          <w:rFonts w:ascii="仿宋_GB2312" w:eastAsia="仿宋_GB2312" w:hAnsi="宋体" w:cs="仿宋_GB2312"/>
          <w:color w:val="000000"/>
          <w:sz w:val="32"/>
          <w:szCs w:val="32"/>
          <w:lang w:bidi="ar"/>
        </w:rPr>
        <w:t>－计算机软件著作权资产未来第</w:t>
      </w:r>
      <m:oMath>
        <m:r>
          <w:rPr>
            <w:rFonts w:ascii="Cambria Math" w:eastAsia="仿宋_GB2312" w:hAnsi="Cambria Math" w:hint="eastAsia"/>
            <w:color w:val="000000" w:themeColor="text1"/>
            <w:sz w:val="32"/>
            <w:szCs w:val="32"/>
          </w:rPr>
          <m:t>t</m:t>
        </m:r>
      </m:oMath>
      <w:r w:rsidR="0068618A">
        <w:rPr>
          <w:rFonts w:ascii="仿宋_GB2312" w:eastAsia="仿宋_GB2312" w:hAnsi="宋体" w:cs="仿宋_GB2312"/>
          <w:color w:val="000000"/>
          <w:sz w:val="32"/>
          <w:szCs w:val="32"/>
          <w:lang w:bidi="ar"/>
        </w:rPr>
        <w:t>个收益期的收益额；</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m:oMath>
        <m:r>
          <w:rPr>
            <w:rFonts w:ascii="Cambria Math" w:eastAsia="仿宋_GB2312" w:hAnsi="Cambria Math"/>
            <w:color w:val="000000" w:themeColor="text1"/>
            <w:sz w:val="32"/>
            <w:szCs w:val="32"/>
          </w:rPr>
          <m:t>n</m:t>
        </m:r>
      </m:oMath>
      <w:r>
        <w:rPr>
          <w:rFonts w:ascii="仿宋_GB2312" w:eastAsia="仿宋_GB2312" w:hAnsi="宋体" w:cs="仿宋_GB2312"/>
          <w:color w:val="000000"/>
          <w:sz w:val="32"/>
          <w:szCs w:val="32"/>
          <w:lang w:bidi="ar"/>
        </w:rPr>
        <w:t>－剩余经济寿命期；</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m:oMath>
        <m:r>
          <w:rPr>
            <w:rFonts w:ascii="Cambria Math" w:eastAsia="仿宋_GB2312" w:hAnsi="Cambria Math" w:hint="eastAsia"/>
            <w:color w:val="000000" w:themeColor="text1"/>
            <w:sz w:val="32"/>
            <w:szCs w:val="32"/>
          </w:rPr>
          <m:t>t</m:t>
        </m:r>
      </m:oMath>
      <w:r>
        <w:rPr>
          <w:rFonts w:ascii="仿宋_GB2312" w:eastAsia="仿宋_GB2312" w:hAnsi="宋体" w:cs="仿宋_GB2312"/>
          <w:color w:val="000000"/>
          <w:sz w:val="32"/>
          <w:szCs w:val="32"/>
          <w:lang w:bidi="ar"/>
        </w:rPr>
        <w:t>－未来第</w:t>
      </w:r>
      <m:oMath>
        <m:r>
          <w:rPr>
            <w:rFonts w:ascii="Cambria Math" w:eastAsia="仿宋_GB2312" w:hAnsi="Cambria Math" w:hint="eastAsia"/>
            <w:color w:val="000000" w:themeColor="text1"/>
            <w:sz w:val="32"/>
            <w:szCs w:val="32"/>
          </w:rPr>
          <m:t>t</m:t>
        </m:r>
      </m:oMath>
      <w:r>
        <w:rPr>
          <w:rFonts w:ascii="仿宋_GB2312" w:eastAsia="仿宋_GB2312" w:hAnsi="宋体" w:cs="仿宋_GB2312"/>
          <w:color w:val="000000"/>
          <w:sz w:val="32"/>
          <w:szCs w:val="32"/>
          <w:lang w:bidi="ar"/>
        </w:rPr>
        <w:t>年；</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m:oMath>
        <m:r>
          <w:rPr>
            <w:rFonts w:ascii="Cambria Math" w:eastAsia="仿宋_GB2312" w:hAnsi="Cambria Math"/>
            <w:color w:val="000000" w:themeColor="text1"/>
            <w:sz w:val="32"/>
            <w:szCs w:val="32"/>
          </w:rPr>
          <m:t>i</m:t>
        </m:r>
      </m:oMath>
      <w:r>
        <w:rPr>
          <w:rFonts w:ascii="仿宋_GB2312" w:eastAsia="仿宋_GB2312" w:hAnsi="宋体" w:cs="仿宋_GB2312"/>
          <w:color w:val="000000"/>
          <w:sz w:val="32"/>
          <w:szCs w:val="32"/>
          <w:lang w:bidi="ar"/>
        </w:rPr>
        <w:t>－折现率。</w:t>
      </w:r>
    </w:p>
    <w:p w:rsidR="0028646B" w:rsidRDefault="0068618A" w:rsidP="00783E27">
      <w:pPr>
        <w:wordWrap w:val="0"/>
        <w:spacing w:line="578" w:lineRule="exact"/>
        <w:ind w:firstLineChars="200" w:firstLine="630"/>
        <w:rPr>
          <w:rFonts w:ascii="仿宋_GB2312"/>
          <w:spacing w:val="-2"/>
          <w:sz w:val="32"/>
          <w:szCs w:val="32"/>
        </w:rPr>
      </w:pPr>
      <w:r>
        <w:rPr>
          <w:rFonts w:ascii="仿宋_GB2312" w:eastAsia="仿宋_GB2312" w:hAnsi="宋体" w:cs="仿宋_GB2312"/>
          <w:color w:val="000000"/>
          <w:sz w:val="32"/>
          <w:szCs w:val="32"/>
          <w:lang w:bidi="ar"/>
        </w:rPr>
        <w:t>依据收益法基本公式，在获取计算机软件著作权资产相关信息的基础上，根据该计算机软件著作权资产或者类似计算机软件著作权资产的历史实施情况及未来应用前景，结合计算机软件著作权资产实施或者拟实施企业经营状况，重点分析计算机软件著作权资产经济收益的可预测性，考虑收益法的适用性。</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第二十三条</w:t>
      </w:r>
      <w:r>
        <w:rPr>
          <w:rFonts w:ascii="仿宋_GB2312" w:eastAsia="仿宋_GB2312" w:hAnsi="Calibri" w:cs="华文仿宋" w:hint="eastAsia"/>
          <w:sz w:val="32"/>
          <w:szCs w:val="32"/>
        </w:rPr>
        <w:t xml:space="preserve">  采用收益法进行计算机软件著作权资产评估时，应当根据计算机软件著作权资产对应作品的运营模式估计评估对象的预期收益。目前确定计算机软件著作权资产预期收益的方法有增量收益、节省许可费和超额收益等方式。确定预期收益时，通过区分并剔除与委托评估的计算机软件著作权资产无关的业务产生的收益，并关注计算机软件著作权对应作品所属行业的市场规模、市场地位及相关企业的经营情况。</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第二十四条</w:t>
      </w:r>
      <w:r>
        <w:rPr>
          <w:rFonts w:ascii="仿宋_GB2312" w:eastAsia="仿宋_GB2312" w:hAnsi="Calibri" w:cs="华文仿宋" w:hint="eastAsia"/>
          <w:sz w:val="32"/>
          <w:szCs w:val="32"/>
        </w:rPr>
        <w:t xml:space="preserve">  执行计算机软件著作权资产评估业务，应当关注该作品演绎出新作品并产生衍生收益的可能性。当具有充分证</w:t>
      </w:r>
      <w:r>
        <w:rPr>
          <w:rFonts w:ascii="仿宋_GB2312" w:eastAsia="仿宋_GB2312" w:hAnsi="Calibri" w:cs="华文仿宋" w:hint="eastAsia"/>
          <w:sz w:val="32"/>
          <w:szCs w:val="32"/>
        </w:rPr>
        <w:lastRenderedPageBreak/>
        <w:t>据证明该作品在可预见的未来可能会演绎出新作品并产生衍生收益时，应当谨慎、恰当地考虑这种衍生收益对计算机软件著作权资产价值的影响。</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第二十五条</w:t>
      </w:r>
      <w:r>
        <w:rPr>
          <w:rFonts w:ascii="仿宋_GB2312" w:eastAsia="仿宋_GB2312" w:hAnsi="Calibri" w:cs="华文仿宋" w:hint="eastAsia"/>
          <w:sz w:val="32"/>
          <w:szCs w:val="32"/>
        </w:rPr>
        <w:t xml:space="preserve">  当原创作品的演绎作品尚未形成时，应当了解其衍生收益的产生在评估基准日具有较大的不确定性，可以按或有资产评估衍生收益对应的计算机软件著作权资产价值。</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第二十六条</w:t>
      </w:r>
      <w:r>
        <w:rPr>
          <w:rFonts w:ascii="仿宋_GB2312" w:eastAsia="仿宋_GB2312" w:hAnsi="Calibri" w:cs="华文仿宋" w:hint="eastAsia"/>
          <w:sz w:val="32"/>
          <w:szCs w:val="32"/>
        </w:rPr>
        <w:t xml:space="preserve">  采用收益法进行计算机软件著作权资产评估时，剩余经济寿命需要综合考虑法律保护期限、相关合同约定期限、开发完成日期、首次发表日期以及计算机软件著作权资产的权利状况等因素确定。</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第二十七条</w:t>
      </w:r>
      <w:r>
        <w:rPr>
          <w:rFonts w:ascii="仿宋_GB2312" w:eastAsia="仿宋_GB2312" w:hAnsi="Calibri" w:cs="华文仿宋" w:hint="eastAsia"/>
          <w:sz w:val="32"/>
          <w:szCs w:val="32"/>
        </w:rPr>
        <w:t xml:space="preserve">  采用收益法进行计算机软件著作权资产评估时，折现率可以通过分析评估基准日的利率、投资回报率，以及计算机软件著作权实施过程中的技术、经营、市场、生命周期等因素确定。计算机软件著作权资产折现率可以采用无风险报酬率加风险报酬率的方式确定。计算机软件著作权资产折现率口径应当与预期收益的口径保持一致。</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第二十八条</w:t>
      </w:r>
      <w:r>
        <w:rPr>
          <w:rFonts w:ascii="仿宋_GB2312" w:eastAsia="仿宋_GB2312" w:hAnsi="Calibri" w:cs="华文仿宋" w:hint="eastAsia"/>
          <w:sz w:val="32"/>
          <w:szCs w:val="32"/>
        </w:rPr>
        <w:t xml:space="preserve">  采用市场法进行计算机软件著作权资产评估时应当：</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（一）考虑该计算机软件著作权资产或者类似计算机软件著作权资产是否存在活跃的市场，恰当考虑市场法的适用性；</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（二）收集类似计算机软件著作权资产交易案例的市场交易价格、交易时间及交易条件等交易信息；</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lastRenderedPageBreak/>
        <w:t>（三）选择具有比较基础的可比计算机软件著作权资产交易案例；</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（四）收集评估对象近期的交易信息；</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（五）对可比交易案例和评估对象近期交易信息进行必要调整。</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第二十九条</w:t>
      </w:r>
      <w:r>
        <w:rPr>
          <w:rFonts w:ascii="仿宋_GB2312" w:eastAsia="仿宋_GB2312" w:hAnsi="Calibri" w:cs="华文仿宋" w:hint="eastAsia"/>
          <w:sz w:val="32"/>
          <w:szCs w:val="32"/>
        </w:rPr>
        <w:t xml:space="preserve">  资产评估人员执行计算机软件著作权资产评估业务时，不论选择哪种评估方法进行评估，都应当保证评估目的与评估所依据的各种假设、前提条件，所使用的各种参数，在性质和逻辑上的一致。尤其是在运用多种评估方法评估同一评估对象时，更要保证每种评估方法运用中所依据的各种假设、前提条件，评估参数的可比性，以便能够使运用不同评估方法所得到的测算结果具有可比性和相互可验证性。</w:t>
      </w:r>
    </w:p>
    <w:p w:rsidR="0028646B" w:rsidRDefault="0068618A">
      <w:pPr>
        <w:pStyle w:val="2"/>
        <w:spacing w:beforeLines="100" w:before="579" w:afterLines="100" w:after="579"/>
        <w:jc w:val="center"/>
        <w:rPr>
          <w:rFonts w:ascii="仿宋_GB2312"/>
          <w:spacing w:val="-2"/>
          <w:szCs w:val="32"/>
        </w:rPr>
      </w:pPr>
      <w:r>
        <w:rPr>
          <w:rFonts w:ascii="黑体" w:hAnsi="黑体" w:hint="eastAsia"/>
          <w:b w:val="0"/>
          <w:szCs w:val="32"/>
        </w:rPr>
        <w:t>第四章  计算机软件著作权资产评估报告披露要求</w:t>
      </w:r>
    </w:p>
    <w:p w:rsidR="0028646B" w:rsidRDefault="0068618A" w:rsidP="00783E27">
      <w:pPr>
        <w:numPr>
          <w:ilvl w:val="255"/>
          <w:numId w:val="0"/>
        </w:numPr>
        <w:spacing w:line="578" w:lineRule="exact"/>
        <w:ind w:firstLineChars="200" w:firstLine="633"/>
        <w:rPr>
          <w:rFonts w:ascii="仿宋_GB2312" w:eastAsia="仿宋_GB2312" w:hAnsi="Calibri" w:cs="华文仿宋"/>
          <w:sz w:val="32"/>
          <w:szCs w:val="32"/>
        </w:rPr>
      </w:pPr>
      <w:r>
        <w:rPr>
          <w:rFonts w:ascii="仿宋_GB2312" w:eastAsia="仿宋_GB2312" w:hAnsi="Calibri" w:cs="华文仿宋" w:hint="eastAsia"/>
          <w:b/>
          <w:bCs/>
          <w:sz w:val="32"/>
          <w:szCs w:val="32"/>
        </w:rPr>
        <w:t>第三十条</w:t>
      </w:r>
      <w:r>
        <w:rPr>
          <w:rFonts w:ascii="仿宋_GB2312" w:eastAsia="仿宋_GB2312" w:hAnsi="Calibri" w:cs="华文仿宋" w:hint="eastAsia"/>
          <w:sz w:val="32"/>
          <w:szCs w:val="32"/>
        </w:rPr>
        <w:t xml:space="preserve">  编制计算机软件著作权资产评估报告需要反映计算机软件著作权资产的特点，通常包括下列内容：</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（一）作者和计算机软件著作权权利人的基本情况；</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（二）评估对象的具体组成情况，包括作品基本情况（如软件名称、开发完成日期、首次发表日期、权利范围、开发技术情况、作品使用情况等）、作品的创作形式、涉及的演绎作品等情</w:t>
      </w:r>
      <w:r>
        <w:rPr>
          <w:rFonts w:ascii="仿宋_GB2312" w:eastAsia="仿宋_GB2312" w:hAnsi="宋体" w:cs="仿宋_GB2312"/>
          <w:color w:val="000000"/>
          <w:sz w:val="32"/>
          <w:szCs w:val="32"/>
          <w:lang w:bidi="ar"/>
        </w:rPr>
        <w:lastRenderedPageBreak/>
        <w:t>况；</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（三）评估对象包含的财产权利限制条件；</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（四）与计算机软件著作权有关的权利情况；</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（五）计算机软件著作权和与计算机软件著作权有关权利事项登记情况；</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（六）作品含有其他无形资产的情况；</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（七）作品产生收益的方式；</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（八）计算机软件著作权剩余法定保护期限以及剩余经济寿命；</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（九）对计算机软件著作权资产价值影响因素的分析过程；</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（十）计算机软件著作权资产许可、转让、诉讼以及质押等情况；</w:t>
      </w:r>
    </w:p>
    <w:p w:rsidR="0028646B" w:rsidRDefault="0068618A" w:rsidP="00783E27">
      <w:pPr>
        <w:wordWrap w:val="0"/>
        <w:spacing w:line="578" w:lineRule="exact"/>
        <w:ind w:firstLineChars="200" w:firstLine="630"/>
        <w:rPr>
          <w:rFonts w:ascii="仿宋_GB2312" w:eastAsia="仿宋_GB2312" w:hAnsi="宋体" w:cs="仿宋_GB2312"/>
          <w:color w:val="000000"/>
          <w:sz w:val="32"/>
          <w:szCs w:val="32"/>
          <w:lang w:bidi="ar"/>
        </w:rPr>
      </w:pPr>
      <w:r>
        <w:rPr>
          <w:rFonts w:ascii="仿宋_GB2312" w:eastAsia="仿宋_GB2312" w:hAnsi="宋体" w:cs="仿宋_GB2312"/>
          <w:color w:val="000000"/>
          <w:sz w:val="32"/>
          <w:szCs w:val="32"/>
          <w:lang w:bidi="ar"/>
        </w:rPr>
        <w:t>（十一）其他必要信息。</w:t>
      </w:r>
    </w:p>
    <w:p w:rsidR="0028646B" w:rsidRDefault="0028646B">
      <w:pPr>
        <w:pStyle w:val="a0"/>
        <w:ind w:firstLineChars="0" w:firstLine="0"/>
        <w:rPr>
          <w:rFonts w:ascii="仿宋_GB2312" w:eastAsia="仿宋_GB2312" w:hAnsi="宋体" w:cs="仿宋_GB2312"/>
          <w:color w:val="000000"/>
          <w:sz w:val="32"/>
          <w:szCs w:val="32"/>
          <w:lang w:bidi="ar"/>
        </w:rPr>
      </w:pPr>
    </w:p>
    <w:p w:rsidR="0028646B" w:rsidRDefault="0068618A" w:rsidP="00783E27">
      <w:pPr>
        <w:wordWrap w:val="0"/>
        <w:spacing w:line="578" w:lineRule="exact"/>
        <w:ind w:firstLineChars="200" w:firstLine="630"/>
        <w:rPr>
          <w:rFonts w:eastAsia="仿宋_GB2312"/>
          <w:color w:val="000000"/>
          <w:sz w:val="32"/>
          <w:szCs w:val="32"/>
          <w:lang w:bidi="ar"/>
        </w:rPr>
      </w:pPr>
      <w:r>
        <w:rPr>
          <w:rFonts w:eastAsia="仿宋_GB2312" w:hint="eastAsia"/>
          <w:color w:val="000000"/>
          <w:sz w:val="32"/>
          <w:szCs w:val="32"/>
          <w:lang w:bidi="ar"/>
        </w:rPr>
        <w:t>附：</w:t>
      </w:r>
      <w:r>
        <w:rPr>
          <w:rFonts w:ascii="宋体" w:hAnsi="宋体" w:cs="宋体"/>
          <w:color w:val="000000"/>
          <w:sz w:val="32"/>
          <w:szCs w:val="32"/>
          <w:lang w:bidi="ar"/>
        </w:rPr>
        <w:t>1.</w:t>
      </w:r>
      <w:r>
        <w:rPr>
          <w:rFonts w:eastAsia="仿宋_GB2312" w:hint="eastAsia"/>
          <w:color w:val="000000"/>
          <w:sz w:val="32"/>
          <w:szCs w:val="32"/>
          <w:lang w:bidi="ar"/>
        </w:rPr>
        <w:t>软件产品分类（</w:t>
      </w:r>
      <w:r>
        <w:rPr>
          <w:rFonts w:eastAsia="仿宋_GB2312"/>
          <w:color w:val="000000"/>
          <w:sz w:val="32"/>
          <w:szCs w:val="32"/>
          <w:lang w:bidi="ar"/>
        </w:rPr>
        <w:t>GB/T 36475-2018</w:t>
      </w:r>
      <w:r>
        <w:rPr>
          <w:rFonts w:eastAsia="仿宋_GB2312" w:hint="eastAsia"/>
          <w:color w:val="000000"/>
          <w:sz w:val="32"/>
          <w:szCs w:val="32"/>
          <w:lang w:bidi="ar"/>
        </w:rPr>
        <w:t>）</w:t>
      </w:r>
    </w:p>
    <w:p w:rsidR="0028646B" w:rsidRDefault="0068618A" w:rsidP="00783E27">
      <w:pPr>
        <w:wordWrap w:val="0"/>
        <w:spacing w:line="578" w:lineRule="exact"/>
        <w:ind w:firstLineChars="400" w:firstLine="1260"/>
        <w:rPr>
          <w:rFonts w:eastAsia="仿宋_GB2312"/>
          <w:color w:val="000000"/>
          <w:sz w:val="32"/>
          <w:szCs w:val="32"/>
          <w:lang w:bidi="ar"/>
        </w:rPr>
      </w:pPr>
      <w:r>
        <w:rPr>
          <w:rFonts w:ascii="宋体" w:hAnsi="宋体" w:cs="宋体"/>
          <w:color w:val="000000"/>
          <w:sz w:val="32"/>
          <w:szCs w:val="32"/>
          <w:lang w:bidi="ar"/>
        </w:rPr>
        <w:t>2.</w:t>
      </w:r>
      <w:r>
        <w:rPr>
          <w:rFonts w:eastAsia="仿宋_GB2312" w:hint="eastAsia"/>
          <w:color w:val="000000"/>
          <w:sz w:val="32"/>
          <w:szCs w:val="32"/>
          <w:lang w:bidi="ar"/>
        </w:rPr>
        <w:t>“中国软件行业基准数据”历年报告查询网址</w:t>
      </w:r>
    </w:p>
    <w:p w:rsidR="0028646B" w:rsidRDefault="0028646B">
      <w:pPr>
        <w:pStyle w:val="a0"/>
        <w:ind w:firstLine="410"/>
        <w:rPr>
          <w:lang w:bidi="ar"/>
        </w:rPr>
      </w:pPr>
    </w:p>
    <w:p w:rsidR="0028646B" w:rsidRDefault="0028646B">
      <w:pPr>
        <w:pStyle w:val="a0"/>
        <w:ind w:firstLine="410"/>
        <w:rPr>
          <w:lang w:bidi="ar"/>
        </w:rPr>
      </w:pPr>
      <w:bookmarkStart w:id="20" w:name="_GoBack"/>
      <w:bookmarkEnd w:id="20"/>
    </w:p>
    <w:p w:rsidR="0028646B" w:rsidRDefault="0028646B">
      <w:pPr>
        <w:pStyle w:val="a0"/>
        <w:ind w:firstLine="410"/>
        <w:rPr>
          <w:lang w:bidi="ar"/>
        </w:rPr>
      </w:pPr>
    </w:p>
    <w:p w:rsidR="0028646B" w:rsidRDefault="0068618A">
      <w:pPr>
        <w:widowControl/>
        <w:jc w:val="left"/>
        <w:rPr>
          <w:rFonts w:ascii="黑体" w:eastAsia="黑体" w:hAnsi="黑体" w:cs="黑体"/>
          <w:sz w:val="32"/>
          <w:szCs w:val="32"/>
        </w:rPr>
      </w:pPr>
      <w:r>
        <w:rPr>
          <w:rFonts w:ascii="黑体" w:eastAsia="黑体" w:hAnsi="黑体" w:cs="黑体"/>
          <w:sz w:val="32"/>
          <w:szCs w:val="32"/>
        </w:rPr>
        <w:br w:type="page"/>
      </w:r>
    </w:p>
    <w:p w:rsidR="0028646B" w:rsidRDefault="0068618A">
      <w:pPr>
        <w:spacing w:line="560" w:lineRule="exact"/>
        <w:rPr>
          <w:rFonts w:ascii="黑体" w:eastAsia="黑体" w:hAnsi="黑体" w:cs="黑体"/>
          <w:sz w:val="32"/>
          <w:szCs w:val="32"/>
        </w:rPr>
      </w:pPr>
      <w:r>
        <w:rPr>
          <w:rFonts w:ascii="黑体" w:eastAsia="黑体" w:hAnsi="黑体" w:cs="黑体" w:hint="eastAsia"/>
          <w:sz w:val="32"/>
          <w:szCs w:val="32"/>
        </w:rPr>
        <w:lastRenderedPageBreak/>
        <w:t xml:space="preserve">附1  </w:t>
      </w:r>
    </w:p>
    <w:p w:rsidR="0028646B" w:rsidRDefault="0028646B">
      <w:pPr>
        <w:pStyle w:val="a0"/>
        <w:ind w:firstLine="410"/>
      </w:pPr>
    </w:p>
    <w:p w:rsidR="0028646B" w:rsidRDefault="0068618A">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软件产品分类（GB/T 36475-2018）</w:t>
      </w:r>
    </w:p>
    <w:p w:rsidR="0028646B" w:rsidRDefault="0028646B">
      <w:pPr>
        <w:pStyle w:val="a0"/>
        <w:spacing w:line="578" w:lineRule="exact"/>
        <w:ind w:firstLine="410"/>
      </w:pPr>
    </w:p>
    <w:tbl>
      <w:tblPr>
        <w:tblStyle w:val="ac"/>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73"/>
        <w:gridCol w:w="2633"/>
        <w:gridCol w:w="5554"/>
      </w:tblGrid>
      <w:tr w:rsidR="0028646B">
        <w:trPr>
          <w:cantSplit/>
          <w:trHeight w:val="410"/>
          <w:tblHeader/>
        </w:trPr>
        <w:tc>
          <w:tcPr>
            <w:tcW w:w="482" w:type="pct"/>
            <w:vAlign w:val="center"/>
          </w:tcPr>
          <w:p w:rsidR="0028646B" w:rsidRDefault="0068618A">
            <w:pPr>
              <w:jc w:val="center"/>
              <w:rPr>
                <w:rFonts w:eastAsia="仿宋"/>
                <w:kern w:val="0"/>
                <w:sz w:val="28"/>
                <w:szCs w:val="28"/>
              </w:rPr>
            </w:pPr>
            <w:r>
              <w:rPr>
                <w:rFonts w:eastAsia="仿宋"/>
                <w:kern w:val="0"/>
                <w:sz w:val="28"/>
                <w:szCs w:val="28"/>
              </w:rPr>
              <w:t>分类号</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名称</w:t>
            </w:r>
          </w:p>
        </w:tc>
        <w:tc>
          <w:tcPr>
            <w:tcW w:w="3065" w:type="pct"/>
            <w:vAlign w:val="center"/>
          </w:tcPr>
          <w:p w:rsidR="0028646B" w:rsidRDefault="0068618A">
            <w:pPr>
              <w:jc w:val="center"/>
              <w:rPr>
                <w:rFonts w:eastAsia="仿宋"/>
                <w:kern w:val="0"/>
                <w:sz w:val="28"/>
                <w:szCs w:val="28"/>
              </w:rPr>
            </w:pPr>
            <w:r>
              <w:rPr>
                <w:rFonts w:eastAsia="仿宋"/>
                <w:kern w:val="0"/>
                <w:sz w:val="28"/>
                <w:szCs w:val="28"/>
              </w:rPr>
              <w:t>说</w:t>
            </w:r>
            <w:r>
              <w:rPr>
                <w:rFonts w:eastAsia="仿宋"/>
                <w:kern w:val="0"/>
                <w:sz w:val="28"/>
                <w:szCs w:val="28"/>
              </w:rPr>
              <w:t xml:space="preserve">  </w:t>
            </w:r>
            <w:r>
              <w:rPr>
                <w:rFonts w:eastAsia="仿宋"/>
                <w:kern w:val="0"/>
                <w:sz w:val="28"/>
                <w:szCs w:val="28"/>
              </w:rPr>
              <w:t>明</w:t>
            </w:r>
          </w:p>
        </w:tc>
      </w:tr>
      <w:tr w:rsidR="0028646B">
        <w:trPr>
          <w:cantSplit/>
        </w:trPr>
        <w:tc>
          <w:tcPr>
            <w:tcW w:w="482" w:type="pct"/>
            <w:vAlign w:val="center"/>
          </w:tcPr>
          <w:p w:rsidR="0028646B" w:rsidRDefault="0068618A">
            <w:pPr>
              <w:jc w:val="center"/>
              <w:rPr>
                <w:rFonts w:eastAsia="仿宋"/>
                <w:b/>
                <w:bCs/>
                <w:kern w:val="0"/>
                <w:sz w:val="28"/>
                <w:szCs w:val="28"/>
              </w:rPr>
            </w:pPr>
            <w:r>
              <w:rPr>
                <w:rFonts w:eastAsia="仿宋"/>
                <w:b/>
                <w:bCs/>
                <w:kern w:val="0"/>
                <w:sz w:val="28"/>
                <w:szCs w:val="28"/>
              </w:rPr>
              <w:t>A</w:t>
            </w:r>
          </w:p>
        </w:tc>
        <w:tc>
          <w:tcPr>
            <w:tcW w:w="1453" w:type="pct"/>
            <w:vAlign w:val="center"/>
          </w:tcPr>
          <w:p w:rsidR="0028646B" w:rsidRDefault="0068618A">
            <w:pPr>
              <w:jc w:val="center"/>
              <w:rPr>
                <w:rFonts w:eastAsia="仿宋"/>
                <w:b/>
                <w:bCs/>
                <w:kern w:val="0"/>
                <w:sz w:val="28"/>
                <w:szCs w:val="28"/>
              </w:rPr>
            </w:pPr>
            <w:r>
              <w:rPr>
                <w:rFonts w:eastAsia="仿宋"/>
                <w:b/>
                <w:bCs/>
                <w:kern w:val="0"/>
                <w:sz w:val="28"/>
                <w:szCs w:val="28"/>
              </w:rPr>
              <w:t>系统软件</w:t>
            </w:r>
          </w:p>
        </w:tc>
        <w:tc>
          <w:tcPr>
            <w:tcW w:w="3065" w:type="pct"/>
            <w:vAlign w:val="center"/>
          </w:tcPr>
          <w:p w:rsidR="0028646B" w:rsidRDefault="0068618A">
            <w:pPr>
              <w:jc w:val="left"/>
              <w:rPr>
                <w:rFonts w:eastAsia="仿宋"/>
                <w:b/>
                <w:bCs/>
                <w:kern w:val="0"/>
                <w:sz w:val="28"/>
                <w:szCs w:val="28"/>
              </w:rPr>
            </w:pPr>
            <w:r>
              <w:rPr>
                <w:rFonts w:eastAsia="仿宋"/>
                <w:b/>
                <w:bCs/>
                <w:kern w:val="0"/>
                <w:sz w:val="28"/>
                <w:szCs w:val="28"/>
              </w:rPr>
              <w:t>能够对硬件资源进行调度和管理、为应用软件提供运行支撑的软件。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A.1</w:t>
            </w:r>
          </w:p>
        </w:tc>
        <w:tc>
          <w:tcPr>
            <w:tcW w:w="1453" w:type="pct"/>
            <w:vAlign w:val="center"/>
          </w:tcPr>
          <w:p w:rsidR="0028646B" w:rsidRDefault="0068618A">
            <w:pPr>
              <w:jc w:val="center"/>
              <w:rPr>
                <w:rFonts w:eastAsia="仿宋"/>
                <w:kern w:val="0"/>
                <w:sz w:val="28"/>
                <w:szCs w:val="28"/>
              </w:rPr>
            </w:pPr>
            <w:r>
              <w:rPr>
                <w:rFonts w:eastAsia="仿宋"/>
                <w:kern w:val="0"/>
                <w:sz w:val="28"/>
                <w:szCs w:val="28"/>
              </w:rPr>
              <w:t>操作系统</w:t>
            </w:r>
          </w:p>
        </w:tc>
        <w:tc>
          <w:tcPr>
            <w:tcW w:w="3065" w:type="pct"/>
            <w:vAlign w:val="center"/>
          </w:tcPr>
          <w:p w:rsidR="0028646B" w:rsidRDefault="0068618A">
            <w:pPr>
              <w:jc w:val="left"/>
              <w:rPr>
                <w:rFonts w:eastAsia="仿宋"/>
                <w:kern w:val="0"/>
                <w:sz w:val="28"/>
                <w:szCs w:val="28"/>
              </w:rPr>
            </w:pPr>
            <w:r>
              <w:rPr>
                <w:rFonts w:eastAsia="仿宋"/>
                <w:kern w:val="0"/>
                <w:sz w:val="28"/>
                <w:szCs w:val="28"/>
              </w:rPr>
              <w:t>控制各种程序的执行，可提供资源分配、调度、输入输出控制数据管理等服务的软件。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A.2</w:t>
            </w:r>
          </w:p>
        </w:tc>
        <w:tc>
          <w:tcPr>
            <w:tcW w:w="1453" w:type="pct"/>
            <w:vAlign w:val="center"/>
          </w:tcPr>
          <w:p w:rsidR="0028646B" w:rsidRDefault="0068618A">
            <w:pPr>
              <w:jc w:val="center"/>
              <w:rPr>
                <w:rFonts w:eastAsia="仿宋"/>
                <w:kern w:val="0"/>
                <w:sz w:val="28"/>
                <w:szCs w:val="28"/>
              </w:rPr>
            </w:pPr>
            <w:r>
              <w:rPr>
                <w:rFonts w:eastAsia="仿宋"/>
                <w:kern w:val="0"/>
                <w:sz w:val="28"/>
                <w:szCs w:val="28"/>
              </w:rPr>
              <w:t>数据库管理软件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管理数据库的软件。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A.3</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固件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硬件设备和驻留在此设备上的作为只读软件的计算机指令和数据的组合。</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A.4</w:t>
            </w:r>
          </w:p>
        </w:tc>
        <w:tc>
          <w:tcPr>
            <w:tcW w:w="1453" w:type="pct"/>
            <w:vAlign w:val="center"/>
          </w:tcPr>
          <w:p w:rsidR="0028646B" w:rsidRDefault="0068618A">
            <w:pPr>
              <w:jc w:val="center"/>
              <w:rPr>
                <w:rFonts w:eastAsia="仿宋"/>
                <w:kern w:val="0"/>
                <w:sz w:val="28"/>
                <w:szCs w:val="28"/>
              </w:rPr>
            </w:pPr>
            <w:r>
              <w:rPr>
                <w:rFonts w:eastAsia="仿宋"/>
                <w:kern w:val="0"/>
                <w:sz w:val="28"/>
                <w:szCs w:val="28"/>
              </w:rPr>
              <w:t>驱动程序</w:t>
            </w:r>
          </w:p>
        </w:tc>
        <w:tc>
          <w:tcPr>
            <w:tcW w:w="3065" w:type="pct"/>
            <w:vAlign w:val="center"/>
          </w:tcPr>
          <w:p w:rsidR="0028646B" w:rsidRDefault="0068618A">
            <w:pPr>
              <w:jc w:val="left"/>
              <w:rPr>
                <w:rFonts w:eastAsia="仿宋"/>
                <w:kern w:val="0"/>
                <w:sz w:val="28"/>
                <w:szCs w:val="28"/>
              </w:rPr>
            </w:pPr>
            <w:r>
              <w:rPr>
                <w:rFonts w:eastAsia="仿宋"/>
                <w:kern w:val="0"/>
                <w:sz w:val="28"/>
                <w:szCs w:val="28"/>
              </w:rPr>
              <w:t>一种可以使计算机和设备通信的特殊程序。</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A.5</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其他</w:t>
            </w:r>
          </w:p>
        </w:tc>
        <w:tc>
          <w:tcPr>
            <w:tcW w:w="3065" w:type="pct"/>
            <w:vAlign w:val="center"/>
          </w:tcPr>
          <w:p w:rsidR="0028646B" w:rsidRDefault="0068618A">
            <w:pPr>
              <w:jc w:val="left"/>
              <w:rPr>
                <w:rFonts w:eastAsia="仿宋"/>
                <w:kern w:val="0"/>
                <w:sz w:val="28"/>
                <w:szCs w:val="28"/>
              </w:rPr>
            </w:pPr>
            <w:r>
              <w:rPr>
                <w:rFonts w:eastAsia="仿宋"/>
                <w:kern w:val="0"/>
                <w:sz w:val="28"/>
                <w:szCs w:val="28"/>
              </w:rPr>
              <w:t>不属于以上分类的其他基础软件。</w:t>
            </w:r>
          </w:p>
        </w:tc>
      </w:tr>
      <w:tr w:rsidR="0028646B">
        <w:trPr>
          <w:cantSplit/>
        </w:trPr>
        <w:tc>
          <w:tcPr>
            <w:tcW w:w="482" w:type="pct"/>
            <w:vAlign w:val="center"/>
          </w:tcPr>
          <w:p w:rsidR="0028646B" w:rsidRDefault="0068618A">
            <w:pPr>
              <w:jc w:val="center"/>
              <w:rPr>
                <w:rFonts w:eastAsia="仿宋"/>
                <w:b/>
                <w:bCs/>
                <w:kern w:val="0"/>
                <w:sz w:val="28"/>
                <w:szCs w:val="28"/>
              </w:rPr>
            </w:pPr>
            <w:r>
              <w:rPr>
                <w:rFonts w:eastAsia="仿宋"/>
                <w:b/>
                <w:bCs/>
                <w:kern w:val="0"/>
                <w:sz w:val="28"/>
                <w:szCs w:val="28"/>
              </w:rPr>
              <w:t>B</w:t>
            </w:r>
          </w:p>
        </w:tc>
        <w:tc>
          <w:tcPr>
            <w:tcW w:w="1453" w:type="pct"/>
            <w:vAlign w:val="center"/>
          </w:tcPr>
          <w:p w:rsidR="0028646B" w:rsidRDefault="0068618A">
            <w:pPr>
              <w:jc w:val="center"/>
              <w:rPr>
                <w:rFonts w:eastAsia="仿宋"/>
                <w:b/>
                <w:bCs/>
                <w:kern w:val="0"/>
                <w:sz w:val="28"/>
                <w:szCs w:val="28"/>
              </w:rPr>
            </w:pPr>
            <w:r>
              <w:rPr>
                <w:rFonts w:eastAsia="仿宋"/>
                <w:b/>
                <w:bCs/>
                <w:kern w:val="0"/>
                <w:sz w:val="28"/>
                <w:szCs w:val="28"/>
              </w:rPr>
              <w:t>支撑软件</w:t>
            </w:r>
          </w:p>
        </w:tc>
        <w:tc>
          <w:tcPr>
            <w:tcW w:w="3065" w:type="pct"/>
            <w:vAlign w:val="center"/>
          </w:tcPr>
          <w:p w:rsidR="0028646B" w:rsidRDefault="0068618A">
            <w:pPr>
              <w:jc w:val="left"/>
              <w:rPr>
                <w:rFonts w:eastAsia="仿宋"/>
                <w:b/>
                <w:bCs/>
                <w:kern w:val="0"/>
                <w:sz w:val="28"/>
                <w:szCs w:val="28"/>
              </w:rPr>
            </w:pPr>
            <w:r>
              <w:rPr>
                <w:rFonts w:eastAsia="仿宋"/>
                <w:b/>
                <w:bCs/>
                <w:kern w:val="0"/>
                <w:sz w:val="28"/>
                <w:szCs w:val="28"/>
              </w:rPr>
              <w:t>支撑软件开发、运行、维护、管理，以及和网络连接或组成相关的支撑类软件。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B.1</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开发支撑软件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支撑软件开发、运行、维护、管理的一类软件。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lastRenderedPageBreak/>
              <w:t>B.2</w:t>
            </w:r>
          </w:p>
        </w:tc>
        <w:tc>
          <w:tcPr>
            <w:tcW w:w="1453" w:type="pct"/>
            <w:vAlign w:val="center"/>
          </w:tcPr>
          <w:p w:rsidR="0028646B" w:rsidRDefault="0068618A">
            <w:pPr>
              <w:jc w:val="center"/>
              <w:rPr>
                <w:rFonts w:eastAsia="仿宋"/>
                <w:kern w:val="0"/>
                <w:sz w:val="28"/>
                <w:szCs w:val="28"/>
              </w:rPr>
            </w:pPr>
            <w:r>
              <w:rPr>
                <w:rFonts w:eastAsia="仿宋"/>
                <w:kern w:val="0"/>
                <w:sz w:val="28"/>
                <w:szCs w:val="28"/>
              </w:rPr>
              <w:t>中间体</w:t>
            </w:r>
          </w:p>
        </w:tc>
        <w:tc>
          <w:tcPr>
            <w:tcW w:w="3065" w:type="pct"/>
            <w:vAlign w:val="center"/>
          </w:tcPr>
          <w:p w:rsidR="0028646B" w:rsidRDefault="0068618A">
            <w:pPr>
              <w:jc w:val="left"/>
              <w:rPr>
                <w:rFonts w:eastAsia="仿宋"/>
                <w:kern w:val="0"/>
                <w:sz w:val="28"/>
                <w:szCs w:val="28"/>
              </w:rPr>
            </w:pPr>
            <w:r>
              <w:rPr>
                <w:rFonts w:eastAsia="仿宋"/>
                <w:kern w:val="0"/>
                <w:sz w:val="28"/>
                <w:szCs w:val="28"/>
              </w:rPr>
              <w:t>位于系统软件与应用软件之间，以实现异构、分布式应用软件间的互连、互访和互操作的一类软件。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B.3</w:t>
            </w:r>
          </w:p>
        </w:tc>
        <w:tc>
          <w:tcPr>
            <w:tcW w:w="1453" w:type="pct"/>
            <w:vAlign w:val="center"/>
          </w:tcPr>
          <w:p w:rsidR="0028646B" w:rsidRDefault="0068618A">
            <w:pPr>
              <w:jc w:val="center"/>
              <w:rPr>
                <w:rFonts w:eastAsia="仿宋"/>
                <w:kern w:val="0"/>
                <w:sz w:val="28"/>
                <w:szCs w:val="28"/>
              </w:rPr>
            </w:pPr>
            <w:r>
              <w:rPr>
                <w:rFonts w:eastAsia="仿宋"/>
                <w:kern w:val="0"/>
                <w:sz w:val="28"/>
                <w:szCs w:val="28"/>
              </w:rPr>
              <w:t>浏览器</w:t>
            </w:r>
          </w:p>
        </w:tc>
        <w:tc>
          <w:tcPr>
            <w:tcW w:w="3065" w:type="pct"/>
            <w:vAlign w:val="center"/>
          </w:tcPr>
          <w:p w:rsidR="0028646B" w:rsidRDefault="0068618A">
            <w:pPr>
              <w:jc w:val="left"/>
              <w:rPr>
                <w:rFonts w:eastAsia="仿宋"/>
                <w:kern w:val="0"/>
                <w:sz w:val="28"/>
                <w:szCs w:val="28"/>
              </w:rPr>
            </w:pPr>
            <w:r>
              <w:rPr>
                <w:rFonts w:eastAsia="仿宋"/>
                <w:kern w:val="0"/>
                <w:sz w:val="28"/>
                <w:szCs w:val="28"/>
              </w:rPr>
              <w:t>用于在网络上浏览网页的软件。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B.4</w:t>
            </w:r>
          </w:p>
        </w:tc>
        <w:tc>
          <w:tcPr>
            <w:tcW w:w="1453" w:type="pct"/>
            <w:vAlign w:val="center"/>
          </w:tcPr>
          <w:p w:rsidR="0028646B" w:rsidRDefault="0068618A">
            <w:pPr>
              <w:jc w:val="center"/>
              <w:rPr>
                <w:rFonts w:eastAsia="仿宋"/>
                <w:kern w:val="0"/>
                <w:sz w:val="28"/>
                <w:szCs w:val="28"/>
              </w:rPr>
            </w:pPr>
            <w:r>
              <w:rPr>
                <w:rFonts w:eastAsia="仿宋"/>
                <w:kern w:val="0"/>
                <w:sz w:val="28"/>
                <w:szCs w:val="28"/>
              </w:rPr>
              <w:t>搜索引擎</w:t>
            </w:r>
          </w:p>
        </w:tc>
        <w:tc>
          <w:tcPr>
            <w:tcW w:w="3065" w:type="pct"/>
            <w:vAlign w:val="center"/>
          </w:tcPr>
          <w:p w:rsidR="0028646B" w:rsidRDefault="0068618A">
            <w:pPr>
              <w:jc w:val="left"/>
              <w:rPr>
                <w:rFonts w:eastAsia="仿宋"/>
                <w:kern w:val="0"/>
                <w:sz w:val="28"/>
                <w:szCs w:val="28"/>
              </w:rPr>
            </w:pPr>
            <w:r>
              <w:rPr>
                <w:rFonts w:eastAsia="仿宋"/>
                <w:kern w:val="0"/>
                <w:sz w:val="28"/>
                <w:szCs w:val="28"/>
              </w:rPr>
              <w:t>根据一定的策略、运用特定的计算机程序从互联网或相关载体上搜集信息，在对信息进行组织和处理后，为用户提供检索服务，将用户检索相关的信息展示给用户的系统。</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B.5</w:t>
            </w:r>
          </w:p>
        </w:tc>
        <w:tc>
          <w:tcPr>
            <w:tcW w:w="1453" w:type="pct"/>
            <w:vAlign w:val="center"/>
          </w:tcPr>
          <w:p w:rsidR="0028646B" w:rsidRDefault="0068618A">
            <w:pPr>
              <w:jc w:val="center"/>
              <w:rPr>
                <w:rFonts w:eastAsia="仿宋"/>
                <w:kern w:val="0"/>
                <w:sz w:val="28"/>
                <w:szCs w:val="28"/>
              </w:rPr>
            </w:pPr>
            <w:r>
              <w:rPr>
                <w:rFonts w:eastAsia="仿宋"/>
                <w:kern w:val="0"/>
                <w:sz w:val="28"/>
                <w:szCs w:val="28"/>
              </w:rPr>
              <w:t>虚拟化系统</w:t>
            </w:r>
          </w:p>
        </w:tc>
        <w:tc>
          <w:tcPr>
            <w:tcW w:w="3065" w:type="pct"/>
            <w:vAlign w:val="center"/>
          </w:tcPr>
          <w:p w:rsidR="0028646B" w:rsidRDefault="0068618A">
            <w:pPr>
              <w:jc w:val="left"/>
              <w:rPr>
                <w:rFonts w:eastAsia="仿宋"/>
                <w:kern w:val="0"/>
                <w:sz w:val="28"/>
                <w:szCs w:val="28"/>
              </w:rPr>
            </w:pPr>
            <w:r>
              <w:rPr>
                <w:rFonts w:eastAsia="仿宋"/>
                <w:kern w:val="0"/>
                <w:sz w:val="28"/>
                <w:szCs w:val="28"/>
              </w:rPr>
              <w:t>包括计算资源虚拟化软件、存储资源虚拟化软件、网络虚拟化软件、其他虚拟化软件。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B.6</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大数据处理软件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对海量结构化、非机构化综合数据进行收集、存储、加工、分析、展示的软件。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B.7</w:t>
            </w:r>
          </w:p>
        </w:tc>
        <w:tc>
          <w:tcPr>
            <w:tcW w:w="1453" w:type="pct"/>
            <w:vAlign w:val="center"/>
          </w:tcPr>
          <w:p w:rsidR="0028646B" w:rsidRDefault="0068618A">
            <w:pPr>
              <w:jc w:val="center"/>
              <w:rPr>
                <w:rFonts w:eastAsia="仿宋"/>
                <w:kern w:val="0"/>
                <w:sz w:val="28"/>
                <w:szCs w:val="28"/>
              </w:rPr>
            </w:pPr>
            <w:r>
              <w:rPr>
                <w:rFonts w:eastAsia="仿宋"/>
                <w:kern w:val="0"/>
                <w:sz w:val="28"/>
                <w:szCs w:val="28"/>
              </w:rPr>
              <w:t>人工智能软件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利用数字计算机或者数字计算机控制的机器模拟、延伸和扩展人的智能，感知环境、获取知识并使用知识获得最佳结果的应用系统软件，包括机器人软件、语言识别软件、图像识别软件、自然语言处理软件和专家系统等。</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B.8</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其他支撑软件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不属于以上分类的其他支撑软件。</w:t>
            </w:r>
          </w:p>
        </w:tc>
      </w:tr>
      <w:tr w:rsidR="0028646B">
        <w:trPr>
          <w:cantSplit/>
        </w:trPr>
        <w:tc>
          <w:tcPr>
            <w:tcW w:w="482" w:type="pct"/>
            <w:vAlign w:val="center"/>
          </w:tcPr>
          <w:p w:rsidR="0028646B" w:rsidRDefault="0068618A">
            <w:pPr>
              <w:jc w:val="center"/>
              <w:rPr>
                <w:rFonts w:eastAsia="仿宋"/>
                <w:b/>
                <w:bCs/>
                <w:kern w:val="0"/>
                <w:sz w:val="28"/>
                <w:szCs w:val="28"/>
              </w:rPr>
            </w:pPr>
            <w:r>
              <w:rPr>
                <w:rFonts w:eastAsia="仿宋"/>
                <w:b/>
                <w:bCs/>
                <w:kern w:val="0"/>
                <w:sz w:val="28"/>
                <w:szCs w:val="28"/>
              </w:rPr>
              <w:lastRenderedPageBreak/>
              <w:t>C</w:t>
            </w:r>
          </w:p>
        </w:tc>
        <w:tc>
          <w:tcPr>
            <w:tcW w:w="1453" w:type="pct"/>
            <w:vAlign w:val="center"/>
          </w:tcPr>
          <w:p w:rsidR="0028646B" w:rsidRDefault="0068618A">
            <w:pPr>
              <w:jc w:val="center"/>
              <w:rPr>
                <w:rFonts w:eastAsia="仿宋"/>
                <w:b/>
                <w:bCs/>
                <w:kern w:val="0"/>
                <w:sz w:val="28"/>
                <w:szCs w:val="28"/>
              </w:rPr>
            </w:pPr>
            <w:r>
              <w:rPr>
                <w:rFonts w:eastAsia="仿宋"/>
                <w:b/>
                <w:bCs/>
                <w:kern w:val="0"/>
                <w:sz w:val="28"/>
                <w:szCs w:val="28"/>
              </w:rPr>
              <w:t>应用软件</w:t>
            </w:r>
          </w:p>
        </w:tc>
        <w:tc>
          <w:tcPr>
            <w:tcW w:w="3065" w:type="pct"/>
            <w:vAlign w:val="center"/>
          </w:tcPr>
          <w:p w:rsidR="0028646B" w:rsidRDefault="0068618A">
            <w:pPr>
              <w:jc w:val="left"/>
              <w:rPr>
                <w:rFonts w:eastAsia="仿宋"/>
                <w:b/>
                <w:bCs/>
                <w:kern w:val="0"/>
                <w:sz w:val="28"/>
                <w:szCs w:val="28"/>
              </w:rPr>
            </w:pPr>
            <w:r>
              <w:rPr>
                <w:rFonts w:eastAsia="仿宋"/>
                <w:b/>
                <w:bCs/>
                <w:kern w:val="0"/>
                <w:sz w:val="28"/>
                <w:szCs w:val="28"/>
              </w:rPr>
              <w:t>解决特定业务的软件，包括通用应用软件和行业应用软件两个类别。</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C.1</w:t>
            </w:r>
          </w:p>
        </w:tc>
        <w:tc>
          <w:tcPr>
            <w:tcW w:w="1453" w:type="pct"/>
            <w:vAlign w:val="center"/>
          </w:tcPr>
          <w:p w:rsidR="0028646B" w:rsidRDefault="0068618A">
            <w:pPr>
              <w:jc w:val="center"/>
              <w:rPr>
                <w:rFonts w:eastAsia="仿宋"/>
                <w:kern w:val="0"/>
                <w:sz w:val="28"/>
                <w:szCs w:val="28"/>
              </w:rPr>
            </w:pPr>
            <w:r>
              <w:rPr>
                <w:rFonts w:eastAsia="仿宋"/>
                <w:kern w:val="0"/>
                <w:sz w:val="28"/>
                <w:szCs w:val="28"/>
              </w:rPr>
              <w:t>通用应用软件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非特定行业使用的应用软件。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C.2</w:t>
            </w:r>
          </w:p>
        </w:tc>
        <w:tc>
          <w:tcPr>
            <w:tcW w:w="1453" w:type="pct"/>
            <w:vAlign w:val="center"/>
          </w:tcPr>
          <w:p w:rsidR="0028646B" w:rsidRDefault="0068618A">
            <w:pPr>
              <w:jc w:val="center"/>
              <w:rPr>
                <w:rFonts w:eastAsia="仿宋"/>
                <w:kern w:val="0"/>
                <w:sz w:val="28"/>
                <w:szCs w:val="28"/>
              </w:rPr>
            </w:pPr>
            <w:r>
              <w:rPr>
                <w:rFonts w:eastAsia="仿宋"/>
                <w:kern w:val="0"/>
                <w:sz w:val="28"/>
                <w:szCs w:val="28"/>
              </w:rPr>
              <w:t>行业应用软件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针对特定行业应用的软件。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C.3</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其他应用软件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不属于以上分类的其他应用软件。</w:t>
            </w:r>
          </w:p>
        </w:tc>
      </w:tr>
      <w:tr w:rsidR="0028646B">
        <w:trPr>
          <w:cantSplit/>
        </w:trPr>
        <w:tc>
          <w:tcPr>
            <w:tcW w:w="482" w:type="pct"/>
            <w:vAlign w:val="center"/>
          </w:tcPr>
          <w:p w:rsidR="0028646B" w:rsidRDefault="0068618A">
            <w:pPr>
              <w:jc w:val="center"/>
              <w:rPr>
                <w:rFonts w:eastAsia="仿宋"/>
                <w:b/>
                <w:bCs/>
                <w:kern w:val="0"/>
                <w:sz w:val="28"/>
                <w:szCs w:val="28"/>
              </w:rPr>
            </w:pPr>
            <w:r>
              <w:rPr>
                <w:rFonts w:eastAsia="仿宋"/>
                <w:b/>
                <w:bCs/>
                <w:kern w:val="0"/>
                <w:sz w:val="28"/>
                <w:szCs w:val="28"/>
              </w:rPr>
              <w:t>D</w:t>
            </w:r>
          </w:p>
        </w:tc>
        <w:tc>
          <w:tcPr>
            <w:tcW w:w="1453" w:type="pct"/>
            <w:vAlign w:val="center"/>
          </w:tcPr>
          <w:p w:rsidR="0028646B" w:rsidRDefault="0068618A">
            <w:pPr>
              <w:jc w:val="center"/>
              <w:rPr>
                <w:rFonts w:eastAsia="仿宋"/>
                <w:b/>
                <w:bCs/>
                <w:kern w:val="0"/>
                <w:sz w:val="28"/>
                <w:szCs w:val="28"/>
              </w:rPr>
            </w:pPr>
            <w:r>
              <w:rPr>
                <w:rFonts w:eastAsia="仿宋"/>
                <w:b/>
                <w:bCs/>
                <w:kern w:val="0"/>
                <w:sz w:val="28"/>
                <w:szCs w:val="28"/>
              </w:rPr>
              <w:t>嵌入式软件</w:t>
            </w:r>
          </w:p>
        </w:tc>
        <w:tc>
          <w:tcPr>
            <w:tcW w:w="3065" w:type="pct"/>
            <w:vAlign w:val="center"/>
          </w:tcPr>
          <w:p w:rsidR="0028646B" w:rsidRDefault="0068618A">
            <w:pPr>
              <w:jc w:val="left"/>
              <w:rPr>
                <w:rFonts w:eastAsia="仿宋"/>
                <w:b/>
                <w:bCs/>
                <w:kern w:val="0"/>
                <w:sz w:val="28"/>
                <w:szCs w:val="28"/>
              </w:rPr>
            </w:pPr>
            <w:r>
              <w:rPr>
                <w:rFonts w:eastAsia="仿宋"/>
                <w:b/>
                <w:bCs/>
                <w:kern w:val="0"/>
                <w:sz w:val="28"/>
                <w:szCs w:val="28"/>
              </w:rPr>
              <w:t>嵌入式系统中的软件部分，它与系统中的硬件高度结合，一般在可靠性、实时性、效率等方面具有更高要求。（仅与硬件紧密结合部分，不包括运行于嵌入式系统中可独立发布、安装、卸载的软件）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D.1</w:t>
            </w:r>
          </w:p>
        </w:tc>
        <w:tc>
          <w:tcPr>
            <w:tcW w:w="1453" w:type="pct"/>
            <w:vAlign w:val="center"/>
          </w:tcPr>
          <w:p w:rsidR="0028646B" w:rsidRDefault="0068618A">
            <w:pPr>
              <w:jc w:val="center"/>
              <w:rPr>
                <w:rFonts w:eastAsia="仿宋"/>
                <w:kern w:val="0"/>
                <w:sz w:val="28"/>
                <w:szCs w:val="28"/>
              </w:rPr>
            </w:pPr>
            <w:r>
              <w:rPr>
                <w:rFonts w:eastAsia="仿宋"/>
                <w:kern w:val="0"/>
                <w:sz w:val="28"/>
                <w:szCs w:val="28"/>
              </w:rPr>
              <w:t>通信设备嵌入式软件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嵌入在通信设备中的应用软件，包括通讯传输设备、通讯交换设备、移动通信设备、网络设备等嵌入的软件。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D.2</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广播电视设备嵌入式设备</w:t>
            </w:r>
          </w:p>
        </w:tc>
        <w:tc>
          <w:tcPr>
            <w:tcW w:w="3065" w:type="pct"/>
            <w:vAlign w:val="center"/>
          </w:tcPr>
          <w:p w:rsidR="0028646B" w:rsidRDefault="0068618A">
            <w:pPr>
              <w:jc w:val="left"/>
              <w:rPr>
                <w:rFonts w:eastAsia="仿宋"/>
                <w:kern w:val="0"/>
                <w:sz w:val="28"/>
                <w:szCs w:val="28"/>
              </w:rPr>
            </w:pPr>
            <w:r>
              <w:rPr>
                <w:rFonts w:eastAsia="仿宋"/>
                <w:kern w:val="0"/>
                <w:sz w:val="28"/>
                <w:szCs w:val="28"/>
              </w:rPr>
              <w:t>嵌入在广播电视设备中的应用软件，包括广播电视节目制作设备、播控设备、发射设备、电影播放设备等嵌入的软件。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D.3</w:t>
            </w:r>
          </w:p>
        </w:tc>
        <w:tc>
          <w:tcPr>
            <w:tcW w:w="1453" w:type="pct"/>
            <w:vAlign w:val="center"/>
          </w:tcPr>
          <w:p w:rsidR="0028646B" w:rsidRDefault="0068618A">
            <w:pPr>
              <w:jc w:val="center"/>
              <w:rPr>
                <w:rFonts w:eastAsia="仿宋"/>
                <w:kern w:val="0"/>
                <w:sz w:val="28"/>
                <w:szCs w:val="28"/>
              </w:rPr>
            </w:pPr>
            <w:r>
              <w:rPr>
                <w:rFonts w:eastAsia="仿宋"/>
                <w:kern w:val="0"/>
                <w:sz w:val="28"/>
                <w:szCs w:val="28"/>
              </w:rPr>
              <w:t>汽车电子嵌入式软件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嵌入在汽车控制系统或车载系统中的应用软件，包括车辆控制系统、车载娱乐系统、汽车检测设备等嵌入的软件。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lastRenderedPageBreak/>
              <w:t>D.4</w:t>
            </w:r>
          </w:p>
        </w:tc>
        <w:tc>
          <w:tcPr>
            <w:tcW w:w="1453" w:type="pct"/>
            <w:vAlign w:val="center"/>
          </w:tcPr>
          <w:p w:rsidR="0028646B" w:rsidRDefault="0068618A">
            <w:pPr>
              <w:jc w:val="center"/>
              <w:rPr>
                <w:rFonts w:eastAsia="仿宋"/>
                <w:kern w:val="0"/>
                <w:sz w:val="28"/>
                <w:szCs w:val="28"/>
              </w:rPr>
            </w:pPr>
            <w:r>
              <w:rPr>
                <w:rFonts w:eastAsia="仿宋"/>
                <w:kern w:val="0"/>
                <w:sz w:val="28"/>
                <w:szCs w:val="28"/>
              </w:rPr>
              <w:t>交通监控设备嵌入式软件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嵌入交通监控类设备的应用软件，包括流量监测设备、交通信号控制设备等嵌入的软件。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D.5</w:t>
            </w:r>
          </w:p>
        </w:tc>
        <w:tc>
          <w:tcPr>
            <w:tcW w:w="1453" w:type="pct"/>
            <w:vAlign w:val="center"/>
          </w:tcPr>
          <w:p w:rsidR="0028646B" w:rsidRDefault="0068618A">
            <w:pPr>
              <w:jc w:val="center"/>
              <w:rPr>
                <w:rFonts w:eastAsia="仿宋"/>
                <w:kern w:val="0"/>
                <w:sz w:val="28"/>
                <w:szCs w:val="28"/>
              </w:rPr>
            </w:pPr>
            <w:r>
              <w:rPr>
                <w:rFonts w:eastAsia="仿宋"/>
                <w:kern w:val="0"/>
                <w:sz w:val="28"/>
                <w:szCs w:val="28"/>
              </w:rPr>
              <w:t>电子测量仪器嵌入式软件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进行光、电等信号测量电子测量仪器中嵌入的应用软件。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D.6</w:t>
            </w:r>
          </w:p>
        </w:tc>
        <w:tc>
          <w:tcPr>
            <w:tcW w:w="1453" w:type="pct"/>
            <w:vAlign w:val="center"/>
          </w:tcPr>
          <w:p w:rsidR="0028646B" w:rsidRDefault="0068618A">
            <w:pPr>
              <w:jc w:val="center"/>
              <w:rPr>
                <w:rFonts w:eastAsia="仿宋"/>
                <w:kern w:val="0"/>
                <w:sz w:val="28"/>
                <w:szCs w:val="28"/>
              </w:rPr>
            </w:pPr>
            <w:r>
              <w:rPr>
                <w:rFonts w:eastAsia="仿宋"/>
                <w:kern w:val="0"/>
                <w:sz w:val="28"/>
                <w:szCs w:val="28"/>
              </w:rPr>
              <w:t>装备自动控制嵌入式软件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嵌入在自动控制装备产品中的应用软件，包括集散控制系统、电气传动及控制系统、制造用机器人、数控机床、智能传感设备等嵌入的软件。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D.7</w:t>
            </w:r>
          </w:p>
        </w:tc>
        <w:tc>
          <w:tcPr>
            <w:tcW w:w="1453" w:type="pct"/>
            <w:vAlign w:val="center"/>
          </w:tcPr>
          <w:p w:rsidR="0028646B" w:rsidRDefault="0068618A">
            <w:pPr>
              <w:jc w:val="center"/>
              <w:rPr>
                <w:rFonts w:eastAsia="仿宋"/>
                <w:kern w:val="0"/>
                <w:sz w:val="28"/>
                <w:szCs w:val="28"/>
              </w:rPr>
            </w:pPr>
            <w:r>
              <w:rPr>
                <w:rFonts w:eastAsia="仿宋"/>
                <w:kern w:val="0"/>
                <w:sz w:val="28"/>
                <w:szCs w:val="28"/>
              </w:rPr>
              <w:t>电子医疗器械嵌入式软件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嵌入电子医疗器械中进行医学分析或治疗等的应用软件。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D.8</w:t>
            </w:r>
          </w:p>
        </w:tc>
        <w:tc>
          <w:tcPr>
            <w:tcW w:w="1453" w:type="pct"/>
            <w:vAlign w:val="center"/>
          </w:tcPr>
          <w:p w:rsidR="0028646B" w:rsidRDefault="0068618A">
            <w:pPr>
              <w:jc w:val="center"/>
              <w:rPr>
                <w:rFonts w:eastAsia="仿宋"/>
                <w:kern w:val="0"/>
                <w:sz w:val="28"/>
                <w:szCs w:val="28"/>
              </w:rPr>
            </w:pPr>
            <w:r>
              <w:rPr>
                <w:rFonts w:eastAsia="仿宋"/>
                <w:kern w:val="0"/>
                <w:sz w:val="28"/>
                <w:szCs w:val="28"/>
              </w:rPr>
              <w:t>电力监控设备嵌入式软件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嵌入在电力监控设备中的应用软件，包括智能电表、电力调度设备、供电保护装置等嵌入的软件。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D.9</w:t>
            </w:r>
          </w:p>
        </w:tc>
        <w:tc>
          <w:tcPr>
            <w:tcW w:w="1453" w:type="pct"/>
            <w:vAlign w:val="center"/>
          </w:tcPr>
          <w:p w:rsidR="0028646B" w:rsidRDefault="0068618A">
            <w:pPr>
              <w:jc w:val="center"/>
              <w:rPr>
                <w:rFonts w:eastAsia="仿宋"/>
                <w:kern w:val="0"/>
                <w:sz w:val="28"/>
                <w:szCs w:val="28"/>
              </w:rPr>
            </w:pPr>
            <w:r>
              <w:rPr>
                <w:rFonts w:eastAsia="仿宋"/>
                <w:kern w:val="0"/>
                <w:sz w:val="28"/>
                <w:szCs w:val="28"/>
              </w:rPr>
              <w:t>信息系统安全产品</w:t>
            </w:r>
          </w:p>
          <w:p w:rsidR="0028646B" w:rsidRDefault="0068618A">
            <w:pPr>
              <w:jc w:val="center"/>
              <w:rPr>
                <w:rFonts w:eastAsia="仿宋"/>
                <w:kern w:val="0"/>
                <w:sz w:val="28"/>
                <w:szCs w:val="28"/>
              </w:rPr>
            </w:pPr>
            <w:r>
              <w:rPr>
                <w:rFonts w:eastAsia="仿宋"/>
                <w:kern w:val="0"/>
                <w:sz w:val="28"/>
                <w:szCs w:val="28"/>
              </w:rPr>
              <w:t>嵌入式软件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嵌入在信息系统安全产品中的嵌入式应用软件。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D.10</w:t>
            </w:r>
          </w:p>
        </w:tc>
        <w:tc>
          <w:tcPr>
            <w:tcW w:w="1453" w:type="pct"/>
            <w:vAlign w:val="center"/>
          </w:tcPr>
          <w:p w:rsidR="0028646B" w:rsidRDefault="0068618A">
            <w:pPr>
              <w:jc w:val="center"/>
              <w:rPr>
                <w:rFonts w:eastAsia="仿宋"/>
                <w:kern w:val="0"/>
                <w:sz w:val="28"/>
                <w:szCs w:val="28"/>
              </w:rPr>
            </w:pPr>
            <w:r>
              <w:rPr>
                <w:rFonts w:eastAsia="仿宋"/>
                <w:kern w:val="0"/>
                <w:sz w:val="28"/>
                <w:szCs w:val="28"/>
              </w:rPr>
              <w:t>计算机应用产品</w:t>
            </w:r>
          </w:p>
          <w:p w:rsidR="0028646B" w:rsidRDefault="0068618A">
            <w:pPr>
              <w:jc w:val="center"/>
              <w:rPr>
                <w:rFonts w:eastAsia="仿宋"/>
                <w:kern w:val="0"/>
                <w:sz w:val="28"/>
                <w:szCs w:val="28"/>
              </w:rPr>
            </w:pPr>
            <w:r>
              <w:rPr>
                <w:rFonts w:eastAsia="仿宋"/>
                <w:kern w:val="0"/>
                <w:sz w:val="28"/>
                <w:szCs w:val="28"/>
              </w:rPr>
              <w:t>嵌入式软件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嵌入在计算机硬件或外设中的应用软件，包括办公设备、智能传感设备、信息采集装置、自动识别装置、生物特征识别装置等嵌入的软件。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lastRenderedPageBreak/>
              <w:t>D.11</w:t>
            </w:r>
          </w:p>
        </w:tc>
        <w:tc>
          <w:tcPr>
            <w:tcW w:w="1453" w:type="pct"/>
            <w:vAlign w:val="center"/>
          </w:tcPr>
          <w:p w:rsidR="0028646B" w:rsidRDefault="0068618A">
            <w:pPr>
              <w:jc w:val="center"/>
              <w:rPr>
                <w:rFonts w:eastAsia="仿宋"/>
                <w:kern w:val="0"/>
                <w:sz w:val="28"/>
                <w:szCs w:val="28"/>
              </w:rPr>
            </w:pPr>
            <w:r>
              <w:rPr>
                <w:rFonts w:eastAsia="仿宋"/>
                <w:kern w:val="0"/>
                <w:sz w:val="28"/>
                <w:szCs w:val="28"/>
              </w:rPr>
              <w:t>终端设备嵌入式软件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嵌入在个人或行业等终端设备中的嵌入式软件。包括便携终端嵌入式软件、家用终端嵌入式软件、可穿戴设备嵌入式软件、自助终端嵌入式软件、行业应用终端嵌入式软件。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D.12</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其他嵌入式应用软件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不属于以上分类的嵌入式应用软件。</w:t>
            </w:r>
          </w:p>
        </w:tc>
      </w:tr>
      <w:tr w:rsidR="0028646B">
        <w:trPr>
          <w:cantSplit/>
        </w:trPr>
        <w:tc>
          <w:tcPr>
            <w:tcW w:w="482" w:type="pct"/>
            <w:vAlign w:val="center"/>
          </w:tcPr>
          <w:p w:rsidR="0028646B" w:rsidRDefault="0068618A">
            <w:pPr>
              <w:jc w:val="center"/>
              <w:rPr>
                <w:rFonts w:eastAsia="仿宋"/>
                <w:b/>
                <w:bCs/>
                <w:kern w:val="0"/>
                <w:sz w:val="28"/>
                <w:szCs w:val="28"/>
              </w:rPr>
            </w:pPr>
            <w:r>
              <w:rPr>
                <w:rFonts w:eastAsia="仿宋"/>
                <w:b/>
                <w:bCs/>
                <w:kern w:val="0"/>
                <w:sz w:val="28"/>
                <w:szCs w:val="28"/>
              </w:rPr>
              <w:t>E</w:t>
            </w:r>
          </w:p>
        </w:tc>
        <w:tc>
          <w:tcPr>
            <w:tcW w:w="1453" w:type="pct"/>
            <w:vAlign w:val="center"/>
          </w:tcPr>
          <w:p w:rsidR="0028646B" w:rsidRDefault="0068618A">
            <w:pPr>
              <w:jc w:val="center"/>
              <w:rPr>
                <w:rFonts w:eastAsia="仿宋"/>
                <w:b/>
                <w:bCs/>
                <w:kern w:val="0"/>
                <w:sz w:val="28"/>
                <w:szCs w:val="28"/>
              </w:rPr>
            </w:pPr>
            <w:r>
              <w:rPr>
                <w:rFonts w:eastAsia="仿宋"/>
                <w:b/>
                <w:bCs/>
                <w:kern w:val="0"/>
                <w:sz w:val="28"/>
                <w:szCs w:val="28"/>
              </w:rPr>
              <w:t>信息安全软件</w:t>
            </w:r>
          </w:p>
        </w:tc>
        <w:tc>
          <w:tcPr>
            <w:tcW w:w="3065" w:type="pct"/>
            <w:vAlign w:val="center"/>
          </w:tcPr>
          <w:p w:rsidR="0028646B" w:rsidRDefault="0068618A">
            <w:pPr>
              <w:jc w:val="left"/>
              <w:rPr>
                <w:rFonts w:eastAsia="仿宋"/>
                <w:b/>
                <w:bCs/>
                <w:kern w:val="0"/>
                <w:sz w:val="28"/>
                <w:szCs w:val="28"/>
              </w:rPr>
            </w:pPr>
            <w:r>
              <w:rPr>
                <w:rFonts w:eastAsia="仿宋"/>
                <w:b/>
                <w:bCs/>
                <w:kern w:val="0"/>
                <w:sz w:val="28"/>
                <w:szCs w:val="28"/>
              </w:rPr>
              <w:t>用于对计算机系统及其内容进行保护确保其不被非授权访问的软件。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E.1</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基础类安全产品</w:t>
            </w:r>
          </w:p>
        </w:tc>
        <w:tc>
          <w:tcPr>
            <w:tcW w:w="3065" w:type="pct"/>
            <w:vAlign w:val="center"/>
          </w:tcPr>
          <w:p w:rsidR="0028646B" w:rsidRDefault="0068618A">
            <w:pPr>
              <w:jc w:val="left"/>
              <w:rPr>
                <w:rFonts w:eastAsia="仿宋"/>
                <w:kern w:val="0"/>
                <w:sz w:val="28"/>
                <w:szCs w:val="28"/>
              </w:rPr>
            </w:pPr>
            <w:r>
              <w:rPr>
                <w:rFonts w:eastAsia="仿宋"/>
                <w:kern w:val="0"/>
                <w:sz w:val="28"/>
                <w:szCs w:val="28"/>
              </w:rPr>
              <w:t>对计算机信息系统的硬件和软件资源的有效控制，能够为所管理的资源提供相应的安全保护的信息安全产品。</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E.2</w:t>
            </w:r>
          </w:p>
        </w:tc>
        <w:tc>
          <w:tcPr>
            <w:tcW w:w="1453" w:type="pct"/>
            <w:vAlign w:val="center"/>
          </w:tcPr>
          <w:p w:rsidR="0028646B" w:rsidRDefault="0068618A">
            <w:pPr>
              <w:jc w:val="center"/>
              <w:rPr>
                <w:rFonts w:eastAsia="仿宋"/>
                <w:kern w:val="0"/>
                <w:sz w:val="28"/>
                <w:szCs w:val="28"/>
              </w:rPr>
            </w:pPr>
            <w:r>
              <w:rPr>
                <w:rFonts w:eastAsia="仿宋"/>
                <w:kern w:val="0"/>
                <w:sz w:val="28"/>
                <w:szCs w:val="28"/>
              </w:rPr>
              <w:t>网络与边界安全产品</w:t>
            </w:r>
          </w:p>
        </w:tc>
        <w:tc>
          <w:tcPr>
            <w:tcW w:w="3065" w:type="pct"/>
            <w:vAlign w:val="center"/>
          </w:tcPr>
          <w:p w:rsidR="0028646B" w:rsidRDefault="0068618A">
            <w:pPr>
              <w:jc w:val="left"/>
              <w:rPr>
                <w:rFonts w:eastAsia="仿宋"/>
                <w:kern w:val="0"/>
                <w:sz w:val="28"/>
                <w:szCs w:val="28"/>
              </w:rPr>
            </w:pPr>
            <w:r>
              <w:rPr>
                <w:rFonts w:eastAsia="仿宋"/>
                <w:kern w:val="0"/>
                <w:sz w:val="28"/>
                <w:szCs w:val="28"/>
              </w:rPr>
              <w:t>部署在网络设备、通信终端或安全域边界上，用于防御针对网络通讯的攻击、安全域外部对内部网络</w:t>
            </w:r>
            <w:r>
              <w:rPr>
                <w:rFonts w:eastAsia="仿宋"/>
                <w:kern w:val="0"/>
                <w:sz w:val="28"/>
                <w:szCs w:val="28"/>
              </w:rPr>
              <w:t>/</w:t>
            </w:r>
            <w:r>
              <w:rPr>
                <w:rFonts w:eastAsia="仿宋"/>
                <w:kern w:val="0"/>
                <w:sz w:val="28"/>
                <w:szCs w:val="28"/>
              </w:rPr>
              <w:t>主机设备进行渗透或安全域内部网络</w:t>
            </w:r>
            <w:r>
              <w:rPr>
                <w:rFonts w:eastAsia="仿宋"/>
                <w:kern w:val="0"/>
                <w:sz w:val="28"/>
                <w:szCs w:val="28"/>
              </w:rPr>
              <w:t>/</w:t>
            </w:r>
            <w:r>
              <w:rPr>
                <w:rFonts w:eastAsia="仿宋"/>
                <w:kern w:val="0"/>
                <w:sz w:val="28"/>
                <w:szCs w:val="28"/>
              </w:rPr>
              <w:t>主机设备向外部泄露敏感信息等的信息安全产品。</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E.3</w:t>
            </w:r>
          </w:p>
        </w:tc>
        <w:tc>
          <w:tcPr>
            <w:tcW w:w="1453" w:type="pct"/>
            <w:vAlign w:val="center"/>
          </w:tcPr>
          <w:p w:rsidR="0028646B" w:rsidRDefault="0068618A">
            <w:pPr>
              <w:jc w:val="center"/>
              <w:rPr>
                <w:rFonts w:eastAsia="仿宋"/>
                <w:kern w:val="0"/>
                <w:sz w:val="28"/>
                <w:szCs w:val="28"/>
              </w:rPr>
            </w:pPr>
            <w:r>
              <w:rPr>
                <w:rFonts w:eastAsia="仿宋"/>
                <w:kern w:val="0"/>
                <w:sz w:val="28"/>
                <w:szCs w:val="28"/>
              </w:rPr>
              <w:t>终端与数字内容安全产品</w:t>
            </w:r>
          </w:p>
        </w:tc>
        <w:tc>
          <w:tcPr>
            <w:tcW w:w="3065" w:type="pct"/>
            <w:vAlign w:val="center"/>
          </w:tcPr>
          <w:p w:rsidR="0028646B" w:rsidRDefault="0068618A">
            <w:pPr>
              <w:jc w:val="left"/>
              <w:rPr>
                <w:rFonts w:eastAsia="仿宋"/>
                <w:kern w:val="0"/>
                <w:sz w:val="28"/>
                <w:szCs w:val="28"/>
              </w:rPr>
            </w:pPr>
            <w:r>
              <w:rPr>
                <w:rFonts w:eastAsia="仿宋"/>
                <w:kern w:val="0"/>
                <w:sz w:val="28"/>
                <w:szCs w:val="28"/>
              </w:rPr>
              <w:t>部署在服务终端，用于对在终端设备上发布数字内容进行安全保护，防止数字内容被非授权访问、拷贝、分发等的安全产品。</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lastRenderedPageBreak/>
              <w:t>E.4</w:t>
            </w:r>
          </w:p>
        </w:tc>
        <w:tc>
          <w:tcPr>
            <w:tcW w:w="1453" w:type="pct"/>
            <w:vAlign w:val="center"/>
          </w:tcPr>
          <w:p w:rsidR="0028646B" w:rsidRDefault="0068618A">
            <w:pPr>
              <w:jc w:val="center"/>
              <w:rPr>
                <w:rFonts w:eastAsia="仿宋"/>
                <w:kern w:val="0"/>
                <w:sz w:val="28"/>
                <w:szCs w:val="28"/>
              </w:rPr>
            </w:pPr>
            <w:r>
              <w:rPr>
                <w:rFonts w:eastAsia="仿宋"/>
                <w:kern w:val="0"/>
                <w:sz w:val="28"/>
                <w:szCs w:val="28"/>
              </w:rPr>
              <w:t>专用安全产品</w:t>
            </w:r>
          </w:p>
        </w:tc>
        <w:tc>
          <w:tcPr>
            <w:tcW w:w="3065" w:type="pct"/>
            <w:vAlign w:val="center"/>
          </w:tcPr>
          <w:p w:rsidR="0028646B" w:rsidRDefault="0068618A">
            <w:pPr>
              <w:jc w:val="left"/>
              <w:rPr>
                <w:rFonts w:eastAsia="仿宋"/>
                <w:kern w:val="0"/>
                <w:sz w:val="28"/>
                <w:szCs w:val="28"/>
              </w:rPr>
            </w:pPr>
            <w:r>
              <w:rPr>
                <w:rFonts w:eastAsia="仿宋"/>
                <w:kern w:val="0"/>
                <w:sz w:val="28"/>
                <w:szCs w:val="28"/>
              </w:rPr>
              <w:t>针对特殊需求专门定制的信息安全产品。</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E.5</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安全测试评估与</w:t>
            </w:r>
          </w:p>
          <w:p w:rsidR="0028646B" w:rsidRDefault="0068618A">
            <w:pPr>
              <w:jc w:val="center"/>
              <w:rPr>
                <w:rFonts w:eastAsia="仿宋"/>
                <w:kern w:val="0"/>
                <w:sz w:val="28"/>
                <w:szCs w:val="28"/>
              </w:rPr>
            </w:pPr>
            <w:r>
              <w:rPr>
                <w:rFonts w:eastAsia="仿宋"/>
                <w:kern w:val="0"/>
                <w:sz w:val="28"/>
                <w:szCs w:val="28"/>
              </w:rPr>
              <w:t>服务类软件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对安全防护功能和性能进行测试评估的软件产品。</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E.6</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安全管理产品</w:t>
            </w:r>
          </w:p>
        </w:tc>
        <w:tc>
          <w:tcPr>
            <w:tcW w:w="3065" w:type="pct"/>
            <w:vAlign w:val="center"/>
          </w:tcPr>
          <w:p w:rsidR="0028646B" w:rsidRDefault="0068618A">
            <w:pPr>
              <w:jc w:val="left"/>
              <w:rPr>
                <w:rFonts w:eastAsia="仿宋"/>
                <w:kern w:val="0"/>
                <w:sz w:val="28"/>
                <w:szCs w:val="28"/>
              </w:rPr>
            </w:pPr>
            <w:r>
              <w:rPr>
                <w:rFonts w:eastAsia="仿宋"/>
                <w:kern w:val="0"/>
                <w:sz w:val="28"/>
                <w:szCs w:val="28"/>
              </w:rPr>
              <w:t>为保障信息系统正常运行提供安全基础服务管理与支持，以及降低运行过程中的安全风险的信息安全产品。此类产品没有明确的部署点，也不直接针对具体设备。</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E.7</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其他安全软件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不属于以上分类的安全软件。</w:t>
            </w:r>
          </w:p>
        </w:tc>
      </w:tr>
      <w:tr w:rsidR="0028646B">
        <w:trPr>
          <w:cantSplit/>
        </w:trPr>
        <w:tc>
          <w:tcPr>
            <w:tcW w:w="482" w:type="pct"/>
            <w:vAlign w:val="center"/>
          </w:tcPr>
          <w:p w:rsidR="0028646B" w:rsidRDefault="0068618A">
            <w:pPr>
              <w:jc w:val="center"/>
              <w:rPr>
                <w:rFonts w:eastAsia="仿宋"/>
                <w:b/>
                <w:bCs/>
                <w:kern w:val="0"/>
                <w:sz w:val="28"/>
                <w:szCs w:val="28"/>
              </w:rPr>
            </w:pPr>
            <w:r>
              <w:rPr>
                <w:rFonts w:eastAsia="仿宋"/>
                <w:b/>
                <w:bCs/>
                <w:kern w:val="0"/>
                <w:sz w:val="28"/>
                <w:szCs w:val="28"/>
              </w:rPr>
              <w:t>F</w:t>
            </w:r>
          </w:p>
        </w:tc>
        <w:tc>
          <w:tcPr>
            <w:tcW w:w="1453" w:type="pct"/>
            <w:vAlign w:val="center"/>
          </w:tcPr>
          <w:p w:rsidR="0028646B" w:rsidRDefault="0068618A">
            <w:pPr>
              <w:jc w:val="center"/>
              <w:rPr>
                <w:rFonts w:eastAsia="仿宋"/>
                <w:b/>
                <w:bCs/>
                <w:kern w:val="0"/>
                <w:sz w:val="28"/>
                <w:szCs w:val="28"/>
              </w:rPr>
            </w:pPr>
            <w:r>
              <w:rPr>
                <w:rFonts w:eastAsia="仿宋"/>
                <w:b/>
                <w:bCs/>
                <w:kern w:val="0"/>
                <w:sz w:val="28"/>
                <w:szCs w:val="28"/>
              </w:rPr>
              <w:t>工业软件</w:t>
            </w:r>
          </w:p>
        </w:tc>
        <w:tc>
          <w:tcPr>
            <w:tcW w:w="3065" w:type="pct"/>
            <w:vAlign w:val="center"/>
          </w:tcPr>
          <w:p w:rsidR="0028646B" w:rsidRDefault="0068618A">
            <w:pPr>
              <w:jc w:val="left"/>
              <w:rPr>
                <w:rFonts w:eastAsia="仿宋"/>
                <w:b/>
                <w:bCs/>
                <w:kern w:val="0"/>
                <w:sz w:val="28"/>
                <w:szCs w:val="28"/>
              </w:rPr>
            </w:pPr>
            <w:r>
              <w:rPr>
                <w:rFonts w:eastAsia="仿宋"/>
                <w:b/>
                <w:bCs/>
                <w:kern w:val="0"/>
                <w:sz w:val="28"/>
                <w:szCs w:val="28"/>
              </w:rPr>
              <w:t>在工业领域辅助进行工业设计、生产、通讯、控制的软件。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F.1</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工业总线</w:t>
            </w:r>
          </w:p>
        </w:tc>
        <w:tc>
          <w:tcPr>
            <w:tcW w:w="3065" w:type="pct"/>
            <w:vAlign w:val="center"/>
          </w:tcPr>
          <w:p w:rsidR="0028646B" w:rsidRDefault="0068618A">
            <w:pPr>
              <w:jc w:val="left"/>
              <w:rPr>
                <w:rFonts w:eastAsia="仿宋"/>
                <w:kern w:val="0"/>
                <w:sz w:val="28"/>
                <w:szCs w:val="28"/>
              </w:rPr>
            </w:pPr>
            <w:r>
              <w:rPr>
                <w:rFonts w:eastAsia="仿宋"/>
                <w:kern w:val="0"/>
                <w:sz w:val="28"/>
                <w:szCs w:val="28"/>
              </w:rPr>
              <w:t>偏嵌入式</w:t>
            </w:r>
            <w:r>
              <w:rPr>
                <w:rFonts w:eastAsia="仿宋"/>
                <w:kern w:val="0"/>
                <w:sz w:val="28"/>
                <w:szCs w:val="28"/>
              </w:rPr>
              <w:t>/</w:t>
            </w:r>
            <w:r>
              <w:rPr>
                <w:rFonts w:eastAsia="仿宋"/>
                <w:kern w:val="0"/>
                <w:sz w:val="28"/>
                <w:szCs w:val="28"/>
              </w:rPr>
              <w:t>硬件，用于将多个处理器和控制器集成在一起，实现相互之间的通信，包括串行总线和并行总线。</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F.2</w:t>
            </w:r>
          </w:p>
        </w:tc>
        <w:tc>
          <w:tcPr>
            <w:tcW w:w="1453" w:type="pct"/>
            <w:vAlign w:val="center"/>
          </w:tcPr>
          <w:p w:rsidR="0028646B" w:rsidRDefault="0068618A">
            <w:pPr>
              <w:jc w:val="center"/>
              <w:rPr>
                <w:rFonts w:eastAsia="仿宋"/>
                <w:kern w:val="0"/>
                <w:sz w:val="28"/>
                <w:szCs w:val="28"/>
              </w:rPr>
            </w:pPr>
            <w:r>
              <w:rPr>
                <w:rFonts w:eastAsia="仿宋"/>
                <w:kern w:val="0"/>
                <w:sz w:val="28"/>
                <w:szCs w:val="28"/>
              </w:rPr>
              <w:t>计算机辅助设计</w:t>
            </w:r>
          </w:p>
          <w:p w:rsidR="0028646B" w:rsidRDefault="0068618A">
            <w:pPr>
              <w:jc w:val="center"/>
              <w:rPr>
                <w:rFonts w:eastAsia="仿宋"/>
                <w:kern w:val="0"/>
                <w:sz w:val="28"/>
                <w:szCs w:val="28"/>
              </w:rPr>
            </w:pPr>
            <w:r>
              <w:rPr>
                <w:rFonts w:eastAsia="仿宋"/>
                <w:kern w:val="0"/>
                <w:sz w:val="28"/>
                <w:szCs w:val="28"/>
              </w:rPr>
              <w:t>（</w:t>
            </w:r>
            <w:r>
              <w:rPr>
                <w:rFonts w:eastAsia="仿宋"/>
                <w:kern w:val="0"/>
                <w:sz w:val="28"/>
                <w:szCs w:val="28"/>
              </w:rPr>
              <w:t>CAD</w:t>
            </w:r>
            <w:r>
              <w:rPr>
                <w:rFonts w:eastAsia="仿宋"/>
                <w:kern w:val="0"/>
                <w:sz w:val="28"/>
                <w:szCs w:val="28"/>
              </w:rPr>
              <w:t>）</w:t>
            </w:r>
          </w:p>
        </w:tc>
        <w:tc>
          <w:tcPr>
            <w:tcW w:w="3065" w:type="pct"/>
            <w:vAlign w:val="center"/>
          </w:tcPr>
          <w:p w:rsidR="0028646B" w:rsidRDefault="0068618A">
            <w:pPr>
              <w:jc w:val="left"/>
              <w:rPr>
                <w:rFonts w:eastAsia="仿宋"/>
                <w:kern w:val="0"/>
                <w:sz w:val="28"/>
                <w:szCs w:val="28"/>
              </w:rPr>
            </w:pPr>
            <w:r>
              <w:rPr>
                <w:rFonts w:eastAsia="仿宋"/>
                <w:kern w:val="0"/>
                <w:sz w:val="28"/>
                <w:szCs w:val="28"/>
              </w:rPr>
              <w:t>采用系统化工程方法，利用计算机辅助设计人员完成设计任务的软件。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F.3</w:t>
            </w:r>
          </w:p>
        </w:tc>
        <w:tc>
          <w:tcPr>
            <w:tcW w:w="1453" w:type="pct"/>
            <w:vAlign w:val="center"/>
          </w:tcPr>
          <w:p w:rsidR="0028646B" w:rsidRDefault="0068618A">
            <w:pPr>
              <w:jc w:val="center"/>
              <w:rPr>
                <w:rFonts w:eastAsia="仿宋"/>
                <w:kern w:val="0"/>
                <w:sz w:val="28"/>
                <w:szCs w:val="28"/>
              </w:rPr>
            </w:pPr>
            <w:r>
              <w:rPr>
                <w:rFonts w:eastAsia="仿宋"/>
                <w:kern w:val="0"/>
                <w:sz w:val="28"/>
                <w:szCs w:val="28"/>
              </w:rPr>
              <w:t>计算机辅助制造（</w:t>
            </w:r>
            <w:r>
              <w:rPr>
                <w:rFonts w:eastAsia="仿宋"/>
                <w:kern w:val="0"/>
                <w:sz w:val="28"/>
                <w:szCs w:val="28"/>
              </w:rPr>
              <w:t>CAM</w:t>
            </w:r>
            <w:r>
              <w:rPr>
                <w:rFonts w:eastAsia="仿宋"/>
                <w:kern w:val="0"/>
                <w:sz w:val="28"/>
                <w:szCs w:val="28"/>
              </w:rPr>
              <w:t>）</w:t>
            </w:r>
          </w:p>
        </w:tc>
        <w:tc>
          <w:tcPr>
            <w:tcW w:w="3065" w:type="pct"/>
            <w:vAlign w:val="center"/>
          </w:tcPr>
          <w:p w:rsidR="0028646B" w:rsidRDefault="0068618A">
            <w:pPr>
              <w:jc w:val="left"/>
              <w:rPr>
                <w:rFonts w:eastAsia="仿宋"/>
                <w:kern w:val="0"/>
                <w:sz w:val="28"/>
                <w:szCs w:val="28"/>
              </w:rPr>
            </w:pPr>
            <w:r>
              <w:rPr>
                <w:rFonts w:eastAsia="仿宋"/>
                <w:kern w:val="0"/>
                <w:sz w:val="28"/>
                <w:szCs w:val="28"/>
              </w:rPr>
              <w:t>利用计算机对产品制造作业进行规划、管理和控制的软件。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lastRenderedPageBreak/>
              <w:t>F.4</w:t>
            </w:r>
          </w:p>
        </w:tc>
        <w:tc>
          <w:tcPr>
            <w:tcW w:w="1453" w:type="pct"/>
            <w:vAlign w:val="center"/>
          </w:tcPr>
          <w:p w:rsidR="0028646B" w:rsidRDefault="0068618A">
            <w:pPr>
              <w:jc w:val="center"/>
              <w:rPr>
                <w:rFonts w:eastAsia="仿宋"/>
                <w:kern w:val="0"/>
                <w:sz w:val="28"/>
                <w:szCs w:val="28"/>
              </w:rPr>
            </w:pPr>
            <w:r>
              <w:rPr>
                <w:rFonts w:eastAsia="仿宋"/>
                <w:kern w:val="0"/>
                <w:sz w:val="28"/>
                <w:szCs w:val="28"/>
              </w:rPr>
              <w:t>计算机集成制造系统</w:t>
            </w:r>
          </w:p>
        </w:tc>
        <w:tc>
          <w:tcPr>
            <w:tcW w:w="3065" w:type="pct"/>
            <w:vAlign w:val="center"/>
          </w:tcPr>
          <w:p w:rsidR="0028646B" w:rsidRDefault="0068618A">
            <w:pPr>
              <w:jc w:val="left"/>
              <w:rPr>
                <w:rFonts w:eastAsia="仿宋"/>
                <w:kern w:val="0"/>
                <w:sz w:val="28"/>
                <w:szCs w:val="28"/>
              </w:rPr>
            </w:pPr>
            <w:r>
              <w:rPr>
                <w:rFonts w:eastAsia="仿宋"/>
                <w:kern w:val="0"/>
                <w:sz w:val="28"/>
                <w:szCs w:val="28"/>
              </w:rPr>
              <w:t>综合运用计算机信息处理技术和生产技术，对制造型企业经营的全过程（包括市场分析、产品设计、计划管理、加工制造、销售服务等）的活动、信息、资源、组织和管理进行总体优化组合的软件。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F.5</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工业仿真</w:t>
            </w:r>
          </w:p>
        </w:tc>
        <w:tc>
          <w:tcPr>
            <w:tcW w:w="3065" w:type="pct"/>
            <w:vAlign w:val="center"/>
          </w:tcPr>
          <w:p w:rsidR="0028646B" w:rsidRDefault="0068618A">
            <w:pPr>
              <w:jc w:val="left"/>
              <w:rPr>
                <w:rFonts w:eastAsia="仿宋"/>
                <w:kern w:val="0"/>
                <w:sz w:val="28"/>
                <w:szCs w:val="28"/>
              </w:rPr>
            </w:pPr>
            <w:r>
              <w:rPr>
                <w:rFonts w:eastAsia="仿宋"/>
                <w:kern w:val="0"/>
                <w:sz w:val="28"/>
                <w:szCs w:val="28"/>
              </w:rPr>
              <w:t>模拟将实体工业中的各个模块转化成数据整合到一个虚拟的体系中软件，模拟实现工业作业中的每一项工作和流程，并与之实现各种交互。</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F.6</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可编程逻辑控制器</w:t>
            </w:r>
          </w:p>
          <w:p w:rsidR="0028646B" w:rsidRDefault="0068618A">
            <w:pPr>
              <w:jc w:val="center"/>
              <w:rPr>
                <w:rFonts w:eastAsia="仿宋"/>
                <w:kern w:val="0"/>
                <w:sz w:val="28"/>
                <w:szCs w:val="28"/>
              </w:rPr>
            </w:pPr>
            <w:r>
              <w:rPr>
                <w:rFonts w:eastAsia="仿宋"/>
                <w:kern w:val="0"/>
                <w:sz w:val="28"/>
                <w:szCs w:val="28"/>
              </w:rPr>
              <w:t>（</w:t>
            </w:r>
            <w:r>
              <w:rPr>
                <w:rFonts w:eastAsia="仿宋"/>
                <w:kern w:val="0"/>
                <w:sz w:val="28"/>
                <w:szCs w:val="28"/>
              </w:rPr>
              <w:t>PLC</w:t>
            </w:r>
            <w:r>
              <w:rPr>
                <w:rFonts w:eastAsia="仿宋"/>
                <w:kern w:val="0"/>
                <w:sz w:val="28"/>
                <w:szCs w:val="28"/>
              </w:rPr>
              <w:t>）</w:t>
            </w:r>
          </w:p>
        </w:tc>
        <w:tc>
          <w:tcPr>
            <w:tcW w:w="3065" w:type="pct"/>
            <w:vAlign w:val="center"/>
          </w:tcPr>
          <w:p w:rsidR="0028646B" w:rsidRDefault="0068618A">
            <w:pPr>
              <w:jc w:val="left"/>
              <w:rPr>
                <w:rFonts w:eastAsia="仿宋"/>
                <w:kern w:val="0"/>
                <w:sz w:val="28"/>
                <w:szCs w:val="28"/>
              </w:rPr>
            </w:pPr>
            <w:r>
              <w:rPr>
                <w:rFonts w:eastAsia="仿宋"/>
                <w:kern w:val="0"/>
                <w:sz w:val="28"/>
                <w:szCs w:val="28"/>
              </w:rPr>
              <w:t>采用一类可编程的存储器，用于其内部存储程序，执行逻辑运算、顺序控制、定时、计数与算术操作等面向用户的指令，并通过数字或模拟式输入</w:t>
            </w:r>
            <w:r>
              <w:rPr>
                <w:rFonts w:eastAsia="仿宋"/>
                <w:kern w:val="0"/>
                <w:sz w:val="28"/>
                <w:szCs w:val="28"/>
              </w:rPr>
              <w:t>/</w:t>
            </w:r>
            <w:r>
              <w:rPr>
                <w:rFonts w:eastAsia="仿宋"/>
                <w:kern w:val="0"/>
                <w:sz w:val="28"/>
                <w:szCs w:val="28"/>
              </w:rPr>
              <w:t>输出控制各种类型的机械或生产过程。</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F.7</w:t>
            </w:r>
          </w:p>
        </w:tc>
        <w:tc>
          <w:tcPr>
            <w:tcW w:w="1453" w:type="pct"/>
            <w:vAlign w:val="center"/>
          </w:tcPr>
          <w:p w:rsidR="0028646B" w:rsidRDefault="0068618A">
            <w:pPr>
              <w:jc w:val="center"/>
              <w:rPr>
                <w:rFonts w:eastAsia="仿宋"/>
                <w:kern w:val="0"/>
                <w:sz w:val="28"/>
                <w:szCs w:val="28"/>
              </w:rPr>
            </w:pPr>
            <w:r>
              <w:rPr>
                <w:rFonts w:eastAsia="仿宋"/>
                <w:kern w:val="0"/>
                <w:sz w:val="28"/>
                <w:szCs w:val="28"/>
              </w:rPr>
              <w:t>产品生产周期管理</w:t>
            </w:r>
          </w:p>
          <w:p w:rsidR="0028646B" w:rsidRDefault="0068618A">
            <w:pPr>
              <w:jc w:val="center"/>
              <w:rPr>
                <w:rFonts w:eastAsia="仿宋"/>
                <w:kern w:val="0"/>
                <w:sz w:val="28"/>
                <w:szCs w:val="28"/>
              </w:rPr>
            </w:pPr>
            <w:r>
              <w:rPr>
                <w:rFonts w:eastAsia="仿宋"/>
                <w:kern w:val="0"/>
                <w:sz w:val="28"/>
                <w:szCs w:val="28"/>
              </w:rPr>
              <w:t>（</w:t>
            </w:r>
            <w:r>
              <w:rPr>
                <w:rFonts w:eastAsia="仿宋"/>
                <w:kern w:val="0"/>
                <w:sz w:val="28"/>
                <w:szCs w:val="28"/>
              </w:rPr>
              <w:t>PLM</w:t>
            </w:r>
            <w:r>
              <w:rPr>
                <w:rFonts w:eastAsia="仿宋"/>
                <w:kern w:val="0"/>
                <w:sz w:val="28"/>
                <w:szCs w:val="28"/>
              </w:rPr>
              <w:t>）</w:t>
            </w:r>
          </w:p>
        </w:tc>
        <w:tc>
          <w:tcPr>
            <w:tcW w:w="3065" w:type="pct"/>
            <w:vAlign w:val="center"/>
          </w:tcPr>
          <w:p w:rsidR="0028646B" w:rsidRDefault="0068618A">
            <w:pPr>
              <w:jc w:val="left"/>
              <w:rPr>
                <w:rFonts w:eastAsia="仿宋"/>
                <w:kern w:val="0"/>
                <w:sz w:val="28"/>
                <w:szCs w:val="28"/>
              </w:rPr>
            </w:pPr>
            <w:r>
              <w:rPr>
                <w:rFonts w:eastAsia="仿宋"/>
                <w:kern w:val="0"/>
                <w:sz w:val="28"/>
                <w:szCs w:val="28"/>
              </w:rPr>
              <w:t>支持产品信息产品全生命周期内的创建、管理、分发和使用。</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lastRenderedPageBreak/>
              <w:t>F.8</w:t>
            </w:r>
          </w:p>
        </w:tc>
        <w:tc>
          <w:tcPr>
            <w:tcW w:w="1453" w:type="pct"/>
            <w:vAlign w:val="center"/>
          </w:tcPr>
          <w:p w:rsidR="0028646B" w:rsidRDefault="0068618A">
            <w:pPr>
              <w:jc w:val="center"/>
              <w:rPr>
                <w:rFonts w:eastAsia="仿宋"/>
                <w:kern w:val="0"/>
                <w:sz w:val="28"/>
                <w:szCs w:val="28"/>
              </w:rPr>
            </w:pPr>
            <w:r>
              <w:rPr>
                <w:rFonts w:eastAsia="仿宋"/>
                <w:kern w:val="0"/>
                <w:sz w:val="28"/>
                <w:szCs w:val="28"/>
              </w:rPr>
              <w:t>产品数据管理</w:t>
            </w:r>
          </w:p>
          <w:p w:rsidR="0028646B" w:rsidRDefault="0068618A">
            <w:pPr>
              <w:jc w:val="center"/>
              <w:rPr>
                <w:rFonts w:eastAsia="仿宋"/>
                <w:kern w:val="0"/>
                <w:sz w:val="28"/>
                <w:szCs w:val="28"/>
              </w:rPr>
            </w:pPr>
            <w:r>
              <w:rPr>
                <w:rFonts w:eastAsia="仿宋"/>
                <w:kern w:val="0"/>
                <w:sz w:val="28"/>
                <w:szCs w:val="28"/>
              </w:rPr>
              <w:t>（</w:t>
            </w:r>
            <w:r>
              <w:rPr>
                <w:rFonts w:eastAsia="仿宋"/>
                <w:kern w:val="0"/>
                <w:sz w:val="28"/>
                <w:szCs w:val="28"/>
              </w:rPr>
              <w:t>PDM</w:t>
            </w:r>
            <w:r>
              <w:rPr>
                <w:rFonts w:eastAsia="仿宋"/>
                <w:kern w:val="0"/>
                <w:sz w:val="28"/>
                <w:szCs w:val="28"/>
              </w:rPr>
              <w:t>）</w:t>
            </w:r>
          </w:p>
        </w:tc>
        <w:tc>
          <w:tcPr>
            <w:tcW w:w="3065" w:type="pct"/>
            <w:vAlign w:val="center"/>
          </w:tcPr>
          <w:p w:rsidR="0028646B" w:rsidRDefault="0068618A">
            <w:pPr>
              <w:jc w:val="left"/>
              <w:rPr>
                <w:rFonts w:eastAsia="仿宋"/>
                <w:kern w:val="0"/>
                <w:sz w:val="28"/>
                <w:szCs w:val="28"/>
              </w:rPr>
            </w:pPr>
            <w:r>
              <w:rPr>
                <w:rFonts w:eastAsia="仿宋"/>
                <w:kern w:val="0"/>
                <w:sz w:val="28"/>
                <w:szCs w:val="28"/>
              </w:rPr>
              <w:t>用来管理所有与产品相关信息（包括零件信息、配置、文档、</w:t>
            </w:r>
            <w:r>
              <w:rPr>
                <w:rFonts w:eastAsia="仿宋"/>
                <w:kern w:val="0"/>
                <w:sz w:val="28"/>
                <w:szCs w:val="28"/>
              </w:rPr>
              <w:t>CAD</w:t>
            </w:r>
            <w:r>
              <w:rPr>
                <w:rFonts w:eastAsia="仿宋"/>
                <w:kern w:val="0"/>
                <w:sz w:val="28"/>
                <w:szCs w:val="28"/>
              </w:rPr>
              <w:t>文件、结构、权限信息等）和所有与产品相关过程（包括过程定义和管理）的软件。</w:t>
            </w:r>
          </w:p>
        </w:tc>
      </w:tr>
      <w:tr w:rsidR="0028646B">
        <w:trPr>
          <w:cantSplit/>
        </w:trPr>
        <w:tc>
          <w:tcPr>
            <w:tcW w:w="482" w:type="pct"/>
            <w:vAlign w:val="center"/>
          </w:tcPr>
          <w:p w:rsidR="0028646B" w:rsidRDefault="0068618A">
            <w:pPr>
              <w:jc w:val="center"/>
              <w:rPr>
                <w:rFonts w:eastAsia="仿宋"/>
                <w:kern w:val="0"/>
                <w:sz w:val="28"/>
                <w:szCs w:val="28"/>
              </w:rPr>
            </w:pPr>
            <w:r>
              <w:rPr>
                <w:rFonts w:eastAsia="仿宋"/>
                <w:kern w:val="0"/>
                <w:sz w:val="28"/>
                <w:szCs w:val="28"/>
              </w:rPr>
              <w:t>F.9</w:t>
            </w:r>
          </w:p>
        </w:tc>
        <w:tc>
          <w:tcPr>
            <w:tcW w:w="1453" w:type="pct"/>
            <w:vAlign w:val="center"/>
          </w:tcPr>
          <w:p w:rsidR="0028646B" w:rsidRDefault="0068618A">
            <w:pPr>
              <w:jc w:val="center"/>
              <w:rPr>
                <w:rFonts w:eastAsia="仿宋"/>
                <w:kern w:val="0"/>
                <w:sz w:val="28"/>
                <w:szCs w:val="28"/>
              </w:rPr>
            </w:pPr>
            <w:r>
              <w:rPr>
                <w:rFonts w:eastAsia="仿宋"/>
                <w:kern w:val="0"/>
                <w:sz w:val="28"/>
                <w:szCs w:val="28"/>
              </w:rPr>
              <w:t>其他工业软件</w:t>
            </w:r>
          </w:p>
        </w:tc>
        <w:tc>
          <w:tcPr>
            <w:tcW w:w="3065" w:type="pct"/>
            <w:vAlign w:val="center"/>
          </w:tcPr>
          <w:p w:rsidR="0028646B" w:rsidRDefault="0068618A">
            <w:pPr>
              <w:jc w:val="left"/>
              <w:rPr>
                <w:rFonts w:eastAsia="仿宋"/>
                <w:kern w:val="0"/>
                <w:sz w:val="28"/>
                <w:szCs w:val="28"/>
              </w:rPr>
            </w:pPr>
            <w:r>
              <w:rPr>
                <w:rFonts w:eastAsia="仿宋"/>
                <w:kern w:val="0"/>
                <w:sz w:val="28"/>
                <w:szCs w:val="28"/>
              </w:rPr>
              <w:t>不属于上述类别的工业软件。</w:t>
            </w:r>
          </w:p>
        </w:tc>
      </w:tr>
      <w:tr w:rsidR="0028646B">
        <w:trPr>
          <w:cantSplit/>
        </w:trPr>
        <w:tc>
          <w:tcPr>
            <w:tcW w:w="482" w:type="pct"/>
            <w:vAlign w:val="center"/>
          </w:tcPr>
          <w:p w:rsidR="0028646B" w:rsidRDefault="0068618A">
            <w:pPr>
              <w:jc w:val="center"/>
              <w:rPr>
                <w:rFonts w:eastAsia="仿宋"/>
                <w:b/>
                <w:bCs/>
                <w:kern w:val="0"/>
                <w:sz w:val="28"/>
                <w:szCs w:val="28"/>
              </w:rPr>
            </w:pPr>
            <w:r>
              <w:rPr>
                <w:rFonts w:eastAsia="仿宋"/>
                <w:b/>
                <w:bCs/>
                <w:kern w:val="0"/>
                <w:sz w:val="28"/>
                <w:szCs w:val="28"/>
              </w:rPr>
              <w:t>G</w:t>
            </w:r>
          </w:p>
        </w:tc>
        <w:tc>
          <w:tcPr>
            <w:tcW w:w="1453" w:type="pct"/>
            <w:vAlign w:val="center"/>
          </w:tcPr>
          <w:p w:rsidR="0028646B" w:rsidRDefault="0068618A">
            <w:pPr>
              <w:jc w:val="center"/>
              <w:rPr>
                <w:rFonts w:eastAsia="仿宋"/>
                <w:b/>
                <w:bCs/>
                <w:kern w:val="0"/>
                <w:sz w:val="28"/>
                <w:szCs w:val="28"/>
              </w:rPr>
            </w:pPr>
            <w:r>
              <w:rPr>
                <w:rFonts w:eastAsia="仿宋"/>
                <w:b/>
                <w:bCs/>
                <w:kern w:val="0"/>
                <w:sz w:val="28"/>
                <w:szCs w:val="28"/>
              </w:rPr>
              <w:t>其他软件</w:t>
            </w:r>
          </w:p>
        </w:tc>
        <w:tc>
          <w:tcPr>
            <w:tcW w:w="3065" w:type="pct"/>
            <w:vAlign w:val="center"/>
          </w:tcPr>
          <w:p w:rsidR="0028646B" w:rsidRDefault="0068618A">
            <w:pPr>
              <w:jc w:val="left"/>
              <w:rPr>
                <w:rFonts w:eastAsia="仿宋"/>
                <w:b/>
                <w:bCs/>
                <w:kern w:val="0"/>
                <w:sz w:val="28"/>
                <w:szCs w:val="28"/>
              </w:rPr>
            </w:pPr>
            <w:r>
              <w:rPr>
                <w:rFonts w:eastAsia="仿宋"/>
                <w:b/>
                <w:bCs/>
                <w:kern w:val="0"/>
                <w:sz w:val="28"/>
                <w:szCs w:val="28"/>
              </w:rPr>
              <w:t>不属于以上类别软件的其他软件。</w:t>
            </w:r>
          </w:p>
        </w:tc>
      </w:tr>
    </w:tbl>
    <w:p w:rsidR="0028646B" w:rsidRDefault="0028646B">
      <w:pPr>
        <w:spacing w:line="560" w:lineRule="exact"/>
        <w:rPr>
          <w:rFonts w:ascii="仿宋_GB2312"/>
          <w:sz w:val="32"/>
          <w:szCs w:val="32"/>
        </w:rPr>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28646B">
      <w:pPr>
        <w:pStyle w:val="a0"/>
        <w:ind w:firstLine="410"/>
      </w:pPr>
    </w:p>
    <w:p w:rsidR="0028646B" w:rsidRDefault="0068618A">
      <w:pPr>
        <w:spacing w:line="560" w:lineRule="exact"/>
        <w:rPr>
          <w:rFonts w:ascii="黑体" w:eastAsia="黑体" w:hAnsi="黑体" w:cs="黑体"/>
          <w:sz w:val="32"/>
          <w:szCs w:val="32"/>
        </w:rPr>
      </w:pPr>
      <w:r>
        <w:rPr>
          <w:rFonts w:ascii="黑体" w:eastAsia="黑体" w:hAnsi="黑体" w:cs="黑体" w:hint="eastAsia"/>
          <w:sz w:val="32"/>
          <w:szCs w:val="32"/>
        </w:rPr>
        <w:lastRenderedPageBreak/>
        <w:t>附2</w:t>
      </w:r>
    </w:p>
    <w:p w:rsidR="0028646B" w:rsidRDefault="0028646B">
      <w:pPr>
        <w:spacing w:line="560" w:lineRule="exact"/>
        <w:rPr>
          <w:rFonts w:ascii="黑体" w:eastAsia="黑体" w:hAnsi="黑体" w:cs="黑体"/>
          <w:sz w:val="32"/>
          <w:szCs w:val="32"/>
        </w:rPr>
      </w:pPr>
    </w:p>
    <w:p w:rsidR="0028646B" w:rsidRDefault="0068618A">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“中国软件行业基准数据”</w:t>
      </w:r>
    </w:p>
    <w:p w:rsidR="0028646B" w:rsidRDefault="0068618A">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历年报告查询网址</w:t>
      </w:r>
    </w:p>
    <w:p w:rsidR="0028646B" w:rsidRDefault="0028646B" w:rsidP="00783E27">
      <w:pPr>
        <w:spacing w:line="578" w:lineRule="atLeast"/>
        <w:ind w:firstLineChars="200" w:firstLine="630"/>
        <w:jc w:val="left"/>
        <w:rPr>
          <w:rFonts w:ascii="仿宋_GB2312" w:eastAsia="仿宋_GB2312"/>
          <w:sz w:val="32"/>
          <w:szCs w:val="32"/>
        </w:rPr>
      </w:pPr>
    </w:p>
    <w:p w:rsidR="0028646B" w:rsidRDefault="0068618A" w:rsidP="00783E27">
      <w:pPr>
        <w:spacing w:line="578" w:lineRule="atLeast"/>
        <w:ind w:firstLineChars="200" w:firstLine="630"/>
        <w:jc w:val="left"/>
        <w:rPr>
          <w:rFonts w:ascii="仿宋_GB2312" w:eastAsia="仿宋_GB2312"/>
          <w:sz w:val="32"/>
          <w:szCs w:val="32"/>
        </w:rPr>
      </w:pPr>
      <w:r>
        <w:rPr>
          <w:rFonts w:ascii="仿宋_GB2312" w:eastAsia="仿宋_GB2312" w:hint="eastAsia"/>
          <w:sz w:val="32"/>
          <w:szCs w:val="32"/>
        </w:rPr>
        <w:t>从2016年开始，中国电子技术标准化研究院、北京软件和信息服务交易所、北京软件造价评估技术创新联盟每年联合公开发布一次“中国软件行业基准数据”。</w:t>
      </w:r>
    </w:p>
    <w:p w:rsidR="0028646B" w:rsidRDefault="0068618A" w:rsidP="00783E27">
      <w:pPr>
        <w:spacing w:line="578" w:lineRule="atLeast"/>
        <w:ind w:firstLineChars="200" w:firstLine="630"/>
        <w:jc w:val="left"/>
        <w:rPr>
          <w:rFonts w:ascii="仿宋_GB2312" w:eastAsia="仿宋_GB2312"/>
          <w:sz w:val="32"/>
          <w:szCs w:val="32"/>
        </w:rPr>
      </w:pPr>
      <w:r>
        <w:rPr>
          <w:rFonts w:ascii="仿宋_GB2312" w:eastAsia="仿宋_GB2312" w:hint="eastAsia"/>
          <w:sz w:val="32"/>
          <w:szCs w:val="32"/>
        </w:rPr>
        <w:t>查询网址：</w:t>
      </w:r>
      <w:r>
        <w:rPr>
          <w:rFonts w:ascii="仿宋_GB2312" w:eastAsia="仿宋_GB2312"/>
          <w:sz w:val="32"/>
          <w:szCs w:val="32"/>
        </w:rPr>
        <w:t>http://www.bscea.org/html/rjjzsj/ndsj</w:t>
      </w:r>
    </w:p>
    <w:p w:rsidR="0028646B" w:rsidRDefault="0028646B">
      <w:pPr>
        <w:pStyle w:val="a0"/>
        <w:ind w:firstLine="410"/>
      </w:pPr>
    </w:p>
    <w:p w:rsidR="0028646B" w:rsidRDefault="0028646B">
      <w:pPr>
        <w:pStyle w:val="a0"/>
        <w:ind w:firstLineChars="0" w:firstLine="0"/>
        <w:sectPr w:rsidR="0028646B">
          <w:footerReference w:type="default" r:id="rId15"/>
          <w:pgSz w:w="11906" w:h="16838"/>
          <w:pgMar w:top="2098" w:right="1531" w:bottom="1985" w:left="1531" w:header="851" w:footer="1587" w:gutter="0"/>
          <w:cols w:space="425"/>
          <w:docGrid w:type="linesAndChars" w:linePitch="579" w:charSpace="-1024"/>
        </w:sectPr>
      </w:pPr>
    </w:p>
    <w:p w:rsidR="0028646B" w:rsidRDefault="0068618A">
      <w:pPr>
        <w:spacing w:line="700" w:lineRule="exact"/>
        <w:jc w:val="center"/>
        <w:rPr>
          <w:rFonts w:ascii="方正小标宋简体" w:eastAsia="方正小标宋简体" w:hAnsi="方正小标宋简体" w:cs="黑体"/>
          <w:bCs/>
          <w:spacing w:val="-2"/>
          <w:sz w:val="44"/>
          <w:szCs w:val="44"/>
        </w:rPr>
      </w:pPr>
      <w:r>
        <w:rPr>
          <w:rFonts w:ascii="方正小标宋简体" w:eastAsia="方正小标宋简体" w:hAnsi="方正小标宋简体" w:hint="eastAsia"/>
          <w:sz w:val="44"/>
          <w:szCs w:val="44"/>
        </w:rPr>
        <w:lastRenderedPageBreak/>
        <w:t>《</w:t>
      </w:r>
      <w:r>
        <w:rPr>
          <w:rFonts w:ascii="方正小标宋简体" w:eastAsia="方正小标宋简体" w:hAnsi="方正小标宋简体" w:cs="黑体" w:hint="eastAsia"/>
          <w:bCs/>
          <w:spacing w:val="-2"/>
          <w:sz w:val="44"/>
          <w:szCs w:val="44"/>
        </w:rPr>
        <w:t>资产评估专家指引</w:t>
      </w:r>
      <w:r>
        <w:rPr>
          <w:rFonts w:ascii="方正小标宋简体" w:eastAsia="方正小标宋简体" w:hAnsi="方正小标宋简体"/>
          <w:color w:val="000000" w:themeColor="text1"/>
          <w:spacing w:val="-2"/>
          <w:sz w:val="44"/>
          <w:szCs w:val="44"/>
        </w:rPr>
        <w:t>第XX号</w:t>
      </w:r>
      <w:r>
        <w:rPr>
          <w:rFonts w:ascii="方正小标宋简体" w:eastAsia="方正小标宋简体" w:hAnsi="方正小标宋简体" w:cs="华文仿宋" w:hint="eastAsia"/>
          <w:color w:val="000000"/>
          <w:kern w:val="0"/>
          <w:sz w:val="44"/>
          <w:szCs w:val="44"/>
        </w:rPr>
        <w:t>——</w:t>
      </w:r>
      <w:r>
        <w:rPr>
          <w:rFonts w:ascii="方正小标宋简体" w:eastAsia="方正小标宋简体" w:hAnsi="方正小标宋简体" w:cs="黑体" w:hint="eastAsia"/>
          <w:bCs/>
          <w:spacing w:val="-2"/>
          <w:sz w:val="44"/>
          <w:szCs w:val="44"/>
        </w:rPr>
        <w:t>计算机软件著作权资产评估（征求意见稿）》</w:t>
      </w:r>
    </w:p>
    <w:p w:rsidR="0028646B" w:rsidRDefault="0068618A">
      <w:pPr>
        <w:spacing w:line="700" w:lineRule="exact"/>
        <w:jc w:val="center"/>
        <w:outlineLvl w:val="1"/>
        <w:rPr>
          <w:rFonts w:ascii="方正小标宋简体" w:eastAsia="方正小标宋简体" w:hAnsi="方正小标宋简体"/>
          <w:sz w:val="44"/>
          <w:szCs w:val="44"/>
        </w:rPr>
      </w:pPr>
      <w:r>
        <w:rPr>
          <w:rFonts w:ascii="方正小标宋简体" w:eastAsia="方正小标宋简体" w:hAnsi="方正小标宋简体" w:cs="黑体" w:hint="eastAsia"/>
          <w:bCs/>
          <w:spacing w:val="-2"/>
          <w:sz w:val="44"/>
          <w:szCs w:val="44"/>
        </w:rPr>
        <w:t>起草说明</w:t>
      </w:r>
    </w:p>
    <w:p w:rsidR="0028646B" w:rsidRDefault="0028646B" w:rsidP="00783E27">
      <w:pPr>
        <w:widowControl/>
        <w:spacing w:line="700" w:lineRule="exact"/>
        <w:ind w:firstLineChars="200" w:firstLine="630"/>
        <w:rPr>
          <w:rFonts w:ascii="仿宋_GB2312" w:eastAsia="仿宋_GB2312" w:hAnsi="宋体" w:cs="华文仿宋"/>
          <w:color w:val="000000"/>
          <w:kern w:val="0"/>
          <w:sz w:val="32"/>
          <w:szCs w:val="32"/>
        </w:rPr>
      </w:pPr>
    </w:p>
    <w:p w:rsidR="0028646B" w:rsidRDefault="0068618A" w:rsidP="00783E27">
      <w:pPr>
        <w:widowControl/>
        <w:spacing w:line="578" w:lineRule="exact"/>
        <w:ind w:firstLineChars="200" w:firstLine="630"/>
        <w:rPr>
          <w:rFonts w:ascii="仿宋_GB2312" w:eastAsia="仿宋_GB2312" w:hAnsi="宋体" w:cs="华文仿宋"/>
          <w:color w:val="000000"/>
          <w:kern w:val="0"/>
          <w:sz w:val="32"/>
          <w:szCs w:val="32"/>
        </w:rPr>
      </w:pPr>
      <w:r>
        <w:rPr>
          <w:rFonts w:ascii="仿宋_GB2312" w:eastAsia="仿宋_GB2312" w:hAnsi="宋体" w:cs="华文仿宋" w:hint="eastAsia"/>
          <w:color w:val="000000"/>
          <w:kern w:val="0"/>
          <w:sz w:val="32"/>
          <w:szCs w:val="32"/>
        </w:rPr>
        <w:t>为指导计算机软件著作权资产评估业务，中国资产评估协会（以下简称中评协）研究起草了《资产评估专家指引第XX号——计算机软件著作权资产评估（征求意见稿）》（以下简称专家指引），现就有关事项说明如下：</w:t>
      </w:r>
    </w:p>
    <w:p w:rsidR="0028646B" w:rsidRDefault="0068618A" w:rsidP="00783E27">
      <w:pPr>
        <w:widowControl/>
        <w:spacing w:line="578" w:lineRule="exact"/>
        <w:ind w:firstLineChars="200" w:firstLine="630"/>
        <w:rPr>
          <w:rFonts w:ascii="黑体" w:eastAsia="黑体" w:hAnsi="黑体" w:cs="宋体"/>
          <w:bCs/>
          <w:kern w:val="0"/>
          <w:sz w:val="32"/>
          <w:szCs w:val="32"/>
        </w:rPr>
      </w:pPr>
      <w:r>
        <w:rPr>
          <w:rFonts w:ascii="黑体" w:eastAsia="黑体" w:hAnsi="黑体" w:cs="宋体" w:hint="eastAsia"/>
          <w:bCs/>
          <w:kern w:val="0"/>
          <w:sz w:val="32"/>
          <w:szCs w:val="32"/>
        </w:rPr>
        <w:t>一、起草背景</w:t>
      </w:r>
    </w:p>
    <w:p w:rsidR="0028646B" w:rsidRDefault="0068618A" w:rsidP="00783E27">
      <w:pPr>
        <w:spacing w:line="578" w:lineRule="exact"/>
        <w:ind w:firstLineChars="200" w:firstLine="630"/>
        <w:rPr>
          <w:rFonts w:ascii="仿宋_GB2312" w:eastAsia="仿宋_GB2312"/>
          <w:sz w:val="32"/>
          <w:szCs w:val="32"/>
        </w:rPr>
      </w:pPr>
      <w:r>
        <w:rPr>
          <w:rFonts w:ascii="仿宋_GB2312" w:eastAsia="仿宋_GB2312" w:hint="eastAsia"/>
          <w:sz w:val="32"/>
          <w:szCs w:val="32"/>
        </w:rPr>
        <w:t>随着计算机行业的迅速发展和信息全球化，软件日渐融入国民经济和日常生活的方方面面，软件交易市场也逐渐规范、成熟。在此背景下，客观、公正、合理地评估</w:t>
      </w:r>
      <w:r>
        <w:rPr>
          <w:rFonts w:ascii="仿宋_GB2312" w:eastAsia="仿宋_GB2312" w:hAnsi="宋体" w:cs="华文仿宋" w:hint="eastAsia"/>
          <w:color w:val="000000"/>
          <w:kern w:val="0"/>
          <w:sz w:val="32"/>
          <w:szCs w:val="32"/>
        </w:rPr>
        <w:t>计算机软件著作权资产</w:t>
      </w:r>
      <w:r>
        <w:rPr>
          <w:rFonts w:ascii="仿宋_GB2312" w:eastAsia="仿宋_GB2312" w:hint="eastAsia"/>
          <w:sz w:val="32"/>
          <w:szCs w:val="32"/>
        </w:rPr>
        <w:t>价值成为市场各方关注的焦点，而目前尚未建立系统的、针对整体软件生命周期的科学合理、行之有效的价值评估方法标准体系，“重硬轻软、价值失衡”、国产软件“卖不上价”等问题仍然突出，推进</w:t>
      </w:r>
      <w:r>
        <w:rPr>
          <w:rFonts w:ascii="仿宋_GB2312" w:eastAsia="仿宋_GB2312" w:hAnsi="宋体" w:cs="华文仿宋" w:hint="eastAsia"/>
          <w:color w:val="000000"/>
          <w:kern w:val="0"/>
          <w:sz w:val="32"/>
          <w:szCs w:val="32"/>
        </w:rPr>
        <w:t>计算机软件著作权资产</w:t>
      </w:r>
      <w:r>
        <w:rPr>
          <w:rFonts w:ascii="仿宋_GB2312" w:eastAsia="仿宋_GB2312" w:hint="eastAsia"/>
          <w:sz w:val="32"/>
          <w:szCs w:val="32"/>
        </w:rPr>
        <w:t>价值的科学评估工作已成为当务之急。</w:t>
      </w:r>
    </w:p>
    <w:p w:rsidR="0028646B" w:rsidRDefault="0068618A" w:rsidP="00783E27">
      <w:pPr>
        <w:spacing w:line="578" w:lineRule="exact"/>
        <w:ind w:firstLineChars="200" w:firstLine="630"/>
        <w:rPr>
          <w:rFonts w:ascii="仿宋_GB2312" w:eastAsia="仿宋_GB2312" w:hAnsi="宋体" w:cs="宋体"/>
          <w:kern w:val="0"/>
          <w:sz w:val="32"/>
          <w:szCs w:val="32"/>
        </w:rPr>
      </w:pPr>
      <w:r>
        <w:rPr>
          <w:rFonts w:ascii="仿宋_GB2312" w:eastAsia="仿宋_GB2312" w:hAnsi="宋体" w:cs="宋体" w:hint="eastAsia"/>
          <w:kern w:val="0"/>
          <w:sz w:val="32"/>
          <w:szCs w:val="32"/>
        </w:rPr>
        <w:t>因此，本专家指引针对计算机软件著作权资产的特点、评估方法的使用和选择等方面进行了说明，旨在指导计算机软件著作权资产评估。</w:t>
      </w:r>
    </w:p>
    <w:p w:rsidR="0028646B" w:rsidRDefault="0068618A" w:rsidP="00783E27">
      <w:pPr>
        <w:widowControl/>
        <w:spacing w:line="578" w:lineRule="exact"/>
        <w:ind w:firstLineChars="200" w:firstLine="630"/>
        <w:rPr>
          <w:rFonts w:ascii="黑体" w:eastAsia="黑体" w:hAnsi="黑体" w:cs="宋体"/>
          <w:bCs/>
          <w:kern w:val="0"/>
          <w:sz w:val="32"/>
          <w:szCs w:val="32"/>
          <w:highlight w:val="yellow"/>
        </w:rPr>
      </w:pPr>
      <w:r>
        <w:rPr>
          <w:rFonts w:ascii="黑体" w:eastAsia="黑体" w:hAnsi="黑体" w:cs="宋体" w:hint="eastAsia"/>
          <w:bCs/>
          <w:kern w:val="0"/>
          <w:sz w:val="32"/>
          <w:szCs w:val="32"/>
        </w:rPr>
        <w:t>二、制定原则</w:t>
      </w:r>
    </w:p>
    <w:p w:rsidR="0028646B" w:rsidRDefault="0068618A" w:rsidP="00783E27">
      <w:pPr>
        <w:spacing w:line="578" w:lineRule="exact"/>
        <w:ind w:firstLineChars="200" w:firstLine="630"/>
        <w:rPr>
          <w:rFonts w:ascii="仿宋_GB2312" w:eastAsia="仿宋_GB2312" w:hAnsi="宋体" w:cs="宋体"/>
          <w:kern w:val="0"/>
          <w:sz w:val="32"/>
          <w:szCs w:val="32"/>
          <w:highlight w:val="yellow"/>
        </w:rPr>
      </w:pPr>
      <w:r>
        <w:rPr>
          <w:rFonts w:ascii="仿宋_GB2312" w:eastAsia="仿宋_GB2312" w:hAnsi="宋体" w:cs="宋体" w:hint="eastAsia"/>
          <w:kern w:val="0"/>
          <w:sz w:val="32"/>
          <w:szCs w:val="32"/>
        </w:rPr>
        <w:lastRenderedPageBreak/>
        <w:t>本专家指引以现有无形资产评估准则为基础，突出计算机软件著作权资产的定义、特点，并结合目前我国计算机软件著作权资产评估实证分析，对计算机软件著作权资产的识别、计算机软件著作权资产价值影响因素的分析、评估方法及其选用等重点难点问题进行研究，从而根据学术研究结论制定计算机软件著作权资产评估专家指引。本专家指引从多个维度出发，进一步明晰计算机软件著作权资产的评估对象及分类，通过对计算机软件著作权资产价值影响因素的分析，从三大基础方法出发，研究计算机软件著作权资产价值评估模型，以指导计算机软件著作权资产评估。</w:t>
      </w:r>
    </w:p>
    <w:p w:rsidR="0028646B" w:rsidRDefault="0068618A" w:rsidP="00783E27">
      <w:pPr>
        <w:widowControl/>
        <w:spacing w:line="578" w:lineRule="exact"/>
        <w:ind w:firstLineChars="200" w:firstLine="630"/>
        <w:rPr>
          <w:rFonts w:ascii="黑体" w:eastAsia="黑体" w:hAnsi="黑体" w:cs="宋体"/>
          <w:bCs/>
          <w:kern w:val="0"/>
          <w:sz w:val="32"/>
          <w:szCs w:val="32"/>
          <w:highlight w:val="yellow"/>
        </w:rPr>
      </w:pPr>
      <w:r>
        <w:rPr>
          <w:rFonts w:ascii="黑体" w:eastAsia="黑体" w:hAnsi="黑体" w:cs="宋体" w:hint="eastAsia"/>
          <w:bCs/>
          <w:kern w:val="0"/>
          <w:sz w:val="32"/>
          <w:szCs w:val="32"/>
        </w:rPr>
        <w:t>三、起草过程</w:t>
      </w:r>
    </w:p>
    <w:p w:rsidR="0028646B" w:rsidRDefault="0068618A" w:rsidP="00783E27">
      <w:pPr>
        <w:spacing w:line="578" w:lineRule="exact"/>
        <w:ind w:firstLineChars="200" w:firstLine="630"/>
        <w:rPr>
          <w:rFonts w:ascii="楷体" w:eastAsia="楷体" w:hAnsi="楷体" w:cs="宋体"/>
          <w:kern w:val="0"/>
          <w:sz w:val="32"/>
          <w:szCs w:val="32"/>
        </w:rPr>
      </w:pPr>
      <w:r>
        <w:rPr>
          <w:rFonts w:ascii="仿宋_GB2312" w:eastAsia="仿宋_GB2312" w:hAnsi="宋体" w:cs="宋体" w:hint="eastAsia"/>
          <w:kern w:val="0"/>
          <w:sz w:val="32"/>
          <w:szCs w:val="32"/>
        </w:rPr>
        <w:t>经前期准备，</w:t>
      </w:r>
      <w:r>
        <w:rPr>
          <w:rFonts w:ascii="仿宋_GB2312" w:eastAsia="仿宋_GB2312" w:hAnsi="宋体" w:cs="宋体"/>
          <w:kern w:val="0"/>
          <w:sz w:val="32"/>
          <w:szCs w:val="32"/>
        </w:rPr>
        <w:t>2020</w:t>
      </w:r>
      <w:r>
        <w:rPr>
          <w:rFonts w:ascii="仿宋_GB2312" w:eastAsia="仿宋_GB2312" w:hAnsi="宋体" w:cs="宋体" w:hint="eastAsia"/>
          <w:kern w:val="0"/>
          <w:sz w:val="32"/>
          <w:szCs w:val="32"/>
        </w:rPr>
        <w:t>年7月，中评协组建项目组，确定主要负责人，制定项目总体方案。</w:t>
      </w:r>
      <w:r>
        <w:rPr>
          <w:rFonts w:ascii="仿宋_GB2312" w:eastAsia="仿宋_GB2312" w:hAnsi="宋体" w:cs="宋体"/>
          <w:kern w:val="0"/>
          <w:sz w:val="32"/>
          <w:szCs w:val="32"/>
        </w:rPr>
        <w:t>2020</w:t>
      </w:r>
      <w:r>
        <w:rPr>
          <w:rFonts w:ascii="仿宋_GB2312" w:eastAsia="仿宋_GB2312" w:hAnsi="宋体" w:cs="宋体" w:hint="eastAsia"/>
          <w:kern w:val="0"/>
          <w:sz w:val="32"/>
          <w:szCs w:val="32"/>
        </w:rPr>
        <w:t>年8月，项目组制定项目进度计划并安排项目组成员工作。</w:t>
      </w:r>
      <w:r>
        <w:rPr>
          <w:rFonts w:ascii="仿宋_GB2312" w:eastAsia="仿宋_GB2312" w:hAnsi="宋体" w:cs="宋体"/>
          <w:kern w:val="0"/>
          <w:sz w:val="32"/>
          <w:szCs w:val="32"/>
        </w:rPr>
        <w:t>2020</w:t>
      </w:r>
      <w:r>
        <w:rPr>
          <w:rFonts w:ascii="仿宋_GB2312" w:eastAsia="仿宋_GB2312" w:hAnsi="宋体" w:cs="宋体" w:hint="eastAsia"/>
          <w:kern w:val="0"/>
          <w:sz w:val="32"/>
          <w:szCs w:val="32"/>
        </w:rPr>
        <w:t>年9月至</w:t>
      </w:r>
      <w:r>
        <w:rPr>
          <w:rFonts w:ascii="仿宋_GB2312" w:eastAsia="仿宋_GB2312" w:hAnsi="宋体" w:cs="宋体"/>
          <w:kern w:val="0"/>
          <w:sz w:val="32"/>
          <w:szCs w:val="32"/>
        </w:rPr>
        <w:t>2021</w:t>
      </w:r>
      <w:r>
        <w:rPr>
          <w:rFonts w:ascii="仿宋_GB2312" w:eastAsia="仿宋_GB2312" w:hAnsi="宋体" w:cs="宋体" w:hint="eastAsia"/>
          <w:kern w:val="0"/>
          <w:sz w:val="32"/>
          <w:szCs w:val="32"/>
        </w:rPr>
        <w:t>年</w:t>
      </w:r>
      <w:r>
        <w:rPr>
          <w:rFonts w:ascii="仿宋_GB2312" w:eastAsia="仿宋_GB2312" w:hAnsi="宋体" w:cs="宋体"/>
          <w:kern w:val="0"/>
          <w:sz w:val="32"/>
          <w:szCs w:val="32"/>
        </w:rPr>
        <w:t>3</w:t>
      </w:r>
      <w:r>
        <w:rPr>
          <w:rFonts w:ascii="仿宋_GB2312" w:eastAsia="仿宋_GB2312" w:hAnsi="宋体" w:cs="宋体" w:hint="eastAsia"/>
          <w:kern w:val="0"/>
          <w:sz w:val="32"/>
          <w:szCs w:val="32"/>
        </w:rPr>
        <w:t>月，项目组进行项目调研，收集并分析研究计算机软件著作权资产评估相关资料。</w:t>
      </w:r>
    </w:p>
    <w:p w:rsidR="0028646B" w:rsidRDefault="0068618A" w:rsidP="00783E27">
      <w:pPr>
        <w:spacing w:line="578" w:lineRule="exact"/>
        <w:ind w:firstLineChars="200" w:firstLine="630"/>
        <w:rPr>
          <w:rFonts w:ascii="仿宋_GB2312" w:eastAsia="仿宋_GB2312" w:hAnsi="宋体" w:cs="宋体"/>
          <w:kern w:val="0"/>
          <w:sz w:val="32"/>
          <w:szCs w:val="32"/>
        </w:rPr>
      </w:pPr>
      <w:r>
        <w:rPr>
          <w:rFonts w:ascii="仿宋_GB2312" w:eastAsia="仿宋_GB2312" w:hAnsi="宋体" w:cs="宋体"/>
          <w:kern w:val="0"/>
          <w:sz w:val="32"/>
          <w:szCs w:val="32"/>
        </w:rPr>
        <w:t>2021</w:t>
      </w:r>
      <w:r>
        <w:rPr>
          <w:rFonts w:ascii="仿宋_GB2312" w:eastAsia="仿宋_GB2312" w:hAnsi="宋体" w:cs="宋体" w:hint="eastAsia"/>
          <w:kern w:val="0"/>
          <w:sz w:val="32"/>
          <w:szCs w:val="32"/>
        </w:rPr>
        <w:t>年</w:t>
      </w:r>
      <w:r>
        <w:rPr>
          <w:rFonts w:ascii="仿宋_GB2312" w:eastAsia="仿宋_GB2312" w:hAnsi="宋体" w:cs="宋体"/>
          <w:kern w:val="0"/>
          <w:sz w:val="32"/>
          <w:szCs w:val="32"/>
        </w:rPr>
        <w:t>4</w:t>
      </w:r>
      <w:r>
        <w:rPr>
          <w:rFonts w:ascii="仿宋_GB2312" w:eastAsia="仿宋_GB2312" w:hAnsi="宋体" w:cs="宋体" w:hint="eastAsia"/>
          <w:kern w:val="0"/>
          <w:sz w:val="32"/>
          <w:szCs w:val="32"/>
        </w:rPr>
        <w:t>月至</w:t>
      </w:r>
      <w:r>
        <w:rPr>
          <w:rFonts w:ascii="仿宋_GB2312" w:eastAsia="仿宋_GB2312" w:hAnsi="宋体" w:cs="宋体"/>
          <w:kern w:val="0"/>
          <w:sz w:val="32"/>
          <w:szCs w:val="32"/>
        </w:rPr>
        <w:t>2022</w:t>
      </w:r>
      <w:r>
        <w:rPr>
          <w:rFonts w:ascii="仿宋_GB2312" w:eastAsia="仿宋_GB2312" w:hAnsi="宋体" w:cs="宋体" w:hint="eastAsia"/>
          <w:kern w:val="0"/>
          <w:sz w:val="32"/>
          <w:szCs w:val="32"/>
        </w:rPr>
        <w:t>年</w:t>
      </w:r>
      <w:r>
        <w:rPr>
          <w:rFonts w:ascii="仿宋_GB2312" w:eastAsia="仿宋_GB2312" w:hAnsi="宋体" w:cs="宋体"/>
          <w:kern w:val="0"/>
          <w:sz w:val="32"/>
          <w:szCs w:val="32"/>
        </w:rPr>
        <w:t>5</w:t>
      </w:r>
      <w:r>
        <w:rPr>
          <w:rFonts w:ascii="仿宋_GB2312" w:eastAsia="仿宋_GB2312" w:hAnsi="宋体" w:cs="宋体" w:hint="eastAsia"/>
          <w:kern w:val="0"/>
          <w:sz w:val="32"/>
          <w:szCs w:val="32"/>
        </w:rPr>
        <w:t>月，项目组经过多次研究和讨论，充分听取各单位的意见并研究相关资料形成建议稿。</w:t>
      </w:r>
      <w:bookmarkStart w:id="21" w:name="_Hlk104889902"/>
      <w:r>
        <w:rPr>
          <w:rFonts w:ascii="仿宋_GB2312" w:eastAsia="仿宋_GB2312" w:hAnsi="宋体" w:cs="宋体" w:hint="eastAsia"/>
          <w:kern w:val="0"/>
          <w:sz w:val="32"/>
          <w:szCs w:val="32"/>
        </w:rPr>
        <w:t>2</w:t>
      </w:r>
      <w:r>
        <w:rPr>
          <w:rFonts w:ascii="仿宋_GB2312" w:eastAsia="仿宋_GB2312" w:hAnsi="宋体" w:cs="宋体"/>
          <w:kern w:val="0"/>
          <w:sz w:val="32"/>
          <w:szCs w:val="32"/>
        </w:rPr>
        <w:t>022</w:t>
      </w:r>
      <w:r>
        <w:rPr>
          <w:rFonts w:ascii="仿宋_GB2312" w:eastAsia="仿宋_GB2312" w:hAnsi="宋体" w:cs="宋体" w:hint="eastAsia"/>
          <w:kern w:val="0"/>
          <w:sz w:val="32"/>
          <w:szCs w:val="32"/>
        </w:rPr>
        <w:t>年5月，</w:t>
      </w:r>
      <w:bookmarkStart w:id="22" w:name="_Hlk104890726"/>
      <w:r>
        <w:rPr>
          <w:rFonts w:ascii="仿宋_GB2312" w:eastAsia="仿宋_GB2312" w:hAnsi="宋体" w:cs="宋体" w:hint="eastAsia"/>
          <w:kern w:val="0"/>
          <w:sz w:val="32"/>
          <w:szCs w:val="32"/>
        </w:rPr>
        <w:t>中评协将建议稿发</w:t>
      </w:r>
      <w:bookmarkEnd w:id="22"/>
      <w:r>
        <w:rPr>
          <w:rFonts w:ascii="仿宋_GB2312" w:eastAsia="仿宋_GB2312" w:hAnsi="仿宋" w:hint="eastAsia"/>
          <w:sz w:val="32"/>
          <w:szCs w:val="32"/>
        </w:rPr>
        <w:t>部分专家提出修改意见</w:t>
      </w:r>
      <w:r>
        <w:rPr>
          <w:rFonts w:ascii="仿宋_GB2312" w:eastAsia="仿宋_GB2312" w:hAnsi="宋体" w:cs="宋体" w:hint="eastAsia"/>
          <w:kern w:val="0"/>
          <w:sz w:val="32"/>
          <w:szCs w:val="32"/>
        </w:rPr>
        <w:t>，项目组根据专家意见对建议稿进行修改完善，形成征求意见稿。</w:t>
      </w:r>
      <w:bookmarkEnd w:id="21"/>
    </w:p>
    <w:p w:rsidR="0028646B" w:rsidRDefault="0068618A" w:rsidP="00783E27">
      <w:pPr>
        <w:widowControl/>
        <w:spacing w:line="578" w:lineRule="exact"/>
        <w:ind w:firstLineChars="200" w:firstLine="630"/>
        <w:rPr>
          <w:rFonts w:ascii="黑体" w:eastAsia="黑体" w:hAnsi="黑体" w:cs="宋体"/>
          <w:bCs/>
          <w:kern w:val="0"/>
          <w:sz w:val="32"/>
          <w:szCs w:val="32"/>
        </w:rPr>
      </w:pPr>
      <w:r>
        <w:rPr>
          <w:rFonts w:ascii="黑体" w:eastAsia="黑体" w:hAnsi="黑体" w:cs="宋体" w:hint="eastAsia"/>
          <w:bCs/>
          <w:kern w:val="0"/>
          <w:sz w:val="32"/>
          <w:szCs w:val="32"/>
        </w:rPr>
        <w:t>四、主要内容</w:t>
      </w:r>
    </w:p>
    <w:p w:rsidR="0028646B" w:rsidRDefault="0068618A" w:rsidP="00783E27">
      <w:pPr>
        <w:spacing w:line="578" w:lineRule="exact"/>
        <w:ind w:firstLineChars="200" w:firstLine="630"/>
        <w:rPr>
          <w:rFonts w:ascii="仿宋_GB2312" w:eastAsia="仿宋_GB2312" w:hAnsi="宋体" w:cs="宋体"/>
          <w:kern w:val="0"/>
          <w:sz w:val="32"/>
          <w:szCs w:val="32"/>
        </w:rPr>
      </w:pPr>
      <w:r>
        <w:rPr>
          <w:rFonts w:ascii="仿宋_GB2312" w:eastAsia="仿宋_GB2312" w:hAnsi="宋体" w:cs="宋体" w:hint="eastAsia"/>
          <w:kern w:val="0"/>
          <w:sz w:val="32"/>
          <w:szCs w:val="32"/>
        </w:rPr>
        <w:t>专家指引共四章，分别为引言、评估对象、计算机软件著作</w:t>
      </w:r>
      <w:r>
        <w:rPr>
          <w:rFonts w:ascii="仿宋_GB2312" w:eastAsia="仿宋_GB2312" w:hAnsi="宋体" w:cs="宋体" w:hint="eastAsia"/>
          <w:kern w:val="0"/>
          <w:sz w:val="32"/>
          <w:szCs w:val="32"/>
        </w:rPr>
        <w:lastRenderedPageBreak/>
        <w:t>权资产评估方法、计算机软件著作权资产评估报告披露要求，共3</w:t>
      </w:r>
      <w:r>
        <w:rPr>
          <w:rFonts w:ascii="仿宋_GB2312" w:eastAsia="仿宋_GB2312" w:hAnsi="宋体" w:cs="宋体"/>
          <w:kern w:val="0"/>
          <w:sz w:val="32"/>
          <w:szCs w:val="32"/>
        </w:rPr>
        <w:t>0</w:t>
      </w:r>
      <w:r>
        <w:rPr>
          <w:rFonts w:ascii="仿宋_GB2312" w:eastAsia="仿宋_GB2312" w:hAnsi="宋体" w:cs="宋体" w:hint="eastAsia"/>
          <w:kern w:val="0"/>
          <w:sz w:val="32"/>
          <w:szCs w:val="32"/>
        </w:rPr>
        <w:t>条。</w:t>
      </w:r>
    </w:p>
    <w:p w:rsidR="0028646B" w:rsidRDefault="0068618A" w:rsidP="00783E27">
      <w:pPr>
        <w:spacing w:line="578" w:lineRule="exact"/>
        <w:ind w:firstLineChars="200" w:firstLine="630"/>
        <w:rPr>
          <w:rFonts w:ascii="仿宋_GB2312" w:eastAsia="仿宋_GB2312" w:hAnsi="宋体" w:cs="宋体"/>
          <w:kern w:val="0"/>
          <w:sz w:val="32"/>
          <w:szCs w:val="32"/>
        </w:rPr>
      </w:pPr>
      <w:r>
        <w:rPr>
          <w:rFonts w:ascii="仿宋_GB2312" w:eastAsia="仿宋_GB2312" w:hAnsi="宋体" w:cs="宋体" w:hint="eastAsia"/>
          <w:kern w:val="0"/>
          <w:sz w:val="32"/>
          <w:szCs w:val="32"/>
        </w:rPr>
        <w:t>第一章为引言，介绍了专家指引制定目的、计算机软件著作权资产的定义、计算机软件著作权资产评估的定义。</w:t>
      </w:r>
    </w:p>
    <w:p w:rsidR="0028646B" w:rsidRDefault="0068618A" w:rsidP="00783E27">
      <w:pPr>
        <w:spacing w:line="578" w:lineRule="exact"/>
        <w:ind w:firstLineChars="200" w:firstLine="630"/>
        <w:rPr>
          <w:rFonts w:ascii="仿宋_GB2312" w:eastAsia="仿宋_GB2312" w:hAnsi="宋体" w:cs="宋体"/>
          <w:kern w:val="0"/>
          <w:sz w:val="32"/>
          <w:szCs w:val="32"/>
        </w:rPr>
      </w:pPr>
      <w:r>
        <w:rPr>
          <w:rFonts w:ascii="仿宋_GB2312" w:eastAsia="仿宋_GB2312" w:hAnsi="宋体" w:cs="宋体" w:hint="eastAsia"/>
          <w:kern w:val="0"/>
          <w:sz w:val="32"/>
          <w:szCs w:val="32"/>
        </w:rPr>
        <w:t>第二章为评估对象，梳理计算机软件的概念，并进一步明晰计算机软件著作权资产的评估对象及分类，介绍计算机软件著作权资产评估的基本状况、法律因素、经济因素等内容。</w:t>
      </w:r>
    </w:p>
    <w:p w:rsidR="0028646B" w:rsidRDefault="0068618A" w:rsidP="00783E27">
      <w:pPr>
        <w:spacing w:line="578" w:lineRule="exact"/>
        <w:ind w:firstLineChars="200" w:firstLine="630"/>
        <w:rPr>
          <w:rFonts w:ascii="仿宋_GB2312" w:eastAsia="仿宋_GB2312" w:hAnsi="宋体" w:cs="宋体"/>
          <w:kern w:val="0"/>
          <w:sz w:val="32"/>
          <w:szCs w:val="32"/>
        </w:rPr>
      </w:pPr>
      <w:r>
        <w:rPr>
          <w:rFonts w:ascii="仿宋_GB2312" w:eastAsia="仿宋_GB2312" w:hAnsi="宋体" w:cs="宋体" w:hint="eastAsia"/>
          <w:kern w:val="0"/>
          <w:sz w:val="32"/>
          <w:szCs w:val="32"/>
        </w:rPr>
        <w:t>第三章为计算机软件著作权资产评估方法，介绍了成本法、收益法、市场法三种评估方法的具体模型及应用条件。</w:t>
      </w:r>
    </w:p>
    <w:p w:rsidR="0028646B" w:rsidRDefault="0068618A">
      <w:pPr>
        <w:pStyle w:val="af0"/>
        <w:snapToGrid w:val="0"/>
        <w:spacing w:line="578" w:lineRule="exact"/>
        <w:ind w:firstLine="630"/>
      </w:pPr>
      <w:r>
        <w:rPr>
          <w:rFonts w:ascii="仿宋_GB2312" w:eastAsia="仿宋_GB2312" w:hAnsi="宋体" w:cs="宋体" w:hint="eastAsia"/>
          <w:kern w:val="0"/>
          <w:sz w:val="32"/>
          <w:szCs w:val="32"/>
        </w:rPr>
        <w:t>第四章为计算机软件著作权资产评估报告披露要求，规定了计算机软件著作权资产评估报告的内容。</w:t>
      </w:r>
    </w:p>
    <w:p w:rsidR="0028646B" w:rsidRDefault="0028646B">
      <w:pPr>
        <w:pStyle w:val="af0"/>
        <w:snapToGrid w:val="0"/>
        <w:spacing w:line="560" w:lineRule="exact"/>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pStyle w:val="af0"/>
        <w:snapToGrid w:val="0"/>
        <w:spacing w:line="360" w:lineRule="auto"/>
        <w:ind w:firstLineChars="0" w:firstLine="0"/>
      </w:pPr>
    </w:p>
    <w:p w:rsidR="0028646B" w:rsidRDefault="0028646B">
      <w:pPr>
        <w:autoSpaceDE w:val="0"/>
        <w:autoSpaceDN w:val="0"/>
        <w:adjustRightInd w:val="0"/>
        <w:snapToGrid w:val="0"/>
        <w:spacing w:line="588" w:lineRule="atLeast"/>
        <w:outlineLvl w:val="0"/>
        <w:rPr>
          <w:rFonts w:ascii="方正小标宋简体" w:eastAsia="方正小标宋简体" w:hAnsi="方正小标宋简体"/>
          <w:color w:val="000000" w:themeColor="text1"/>
          <w:spacing w:val="-2"/>
          <w:sz w:val="44"/>
          <w:szCs w:val="44"/>
        </w:rPr>
        <w:sectPr w:rsidR="0028646B">
          <w:footerReference w:type="default" r:id="rId16"/>
          <w:pgSz w:w="11906" w:h="16838"/>
          <w:pgMar w:top="2098" w:right="1531" w:bottom="1984" w:left="1531" w:header="851" w:footer="1644" w:gutter="0"/>
          <w:cols w:space="425"/>
          <w:vAlign w:val="both"/>
          <w:docGrid w:type="linesAndChars" w:linePitch="579" w:charSpace="-1024"/>
        </w:sectPr>
      </w:pPr>
    </w:p>
    <w:p w:rsidR="0028646B" w:rsidRDefault="0068618A">
      <w:pPr>
        <w:autoSpaceDE w:val="0"/>
        <w:autoSpaceDN w:val="0"/>
        <w:adjustRightInd w:val="0"/>
        <w:snapToGrid w:val="0"/>
        <w:spacing w:line="700" w:lineRule="exact"/>
        <w:jc w:val="center"/>
        <w:outlineLvl w:val="0"/>
        <w:rPr>
          <w:rFonts w:ascii="方正小标宋简体" w:eastAsia="方正小标宋简体" w:hAnsi="方正小标宋简体"/>
          <w:color w:val="000000" w:themeColor="text1"/>
          <w:spacing w:val="-2"/>
          <w:sz w:val="44"/>
          <w:szCs w:val="44"/>
        </w:rPr>
      </w:pPr>
      <w:bookmarkStart w:id="23" w:name="_Toc21142"/>
      <w:bookmarkStart w:id="24" w:name="_Toc17562"/>
      <w:bookmarkStart w:id="25" w:name="_Toc22994"/>
      <w:r>
        <w:rPr>
          <w:rFonts w:ascii="方正小标宋简体" w:eastAsia="方正小标宋简体" w:hAnsi="方正小标宋简体"/>
          <w:color w:val="000000" w:themeColor="text1"/>
          <w:spacing w:val="-2"/>
          <w:sz w:val="44"/>
          <w:szCs w:val="44"/>
        </w:rPr>
        <w:lastRenderedPageBreak/>
        <w:t>资产评估专家指引第XX号——碳资产评估</w:t>
      </w:r>
      <w:bookmarkEnd w:id="23"/>
      <w:bookmarkEnd w:id="24"/>
      <w:bookmarkEnd w:id="25"/>
    </w:p>
    <w:p w:rsidR="0028646B" w:rsidRDefault="0068618A">
      <w:pPr>
        <w:autoSpaceDE w:val="0"/>
        <w:autoSpaceDN w:val="0"/>
        <w:adjustRightInd w:val="0"/>
        <w:snapToGrid w:val="0"/>
        <w:spacing w:line="700" w:lineRule="exact"/>
        <w:jc w:val="center"/>
        <w:rPr>
          <w:rFonts w:ascii="方正小标宋简体" w:eastAsia="方正小标宋简体" w:hAnsi="方正小标宋简体"/>
          <w:color w:val="000000" w:themeColor="text1"/>
          <w:spacing w:val="-2"/>
          <w:sz w:val="44"/>
          <w:szCs w:val="44"/>
        </w:rPr>
      </w:pPr>
      <w:r>
        <w:rPr>
          <w:rFonts w:ascii="方正小标宋简体" w:eastAsia="方正小标宋简体" w:hAnsi="方正小标宋简体" w:hint="eastAsia"/>
          <w:color w:val="000000" w:themeColor="text1"/>
          <w:spacing w:val="-2"/>
          <w:sz w:val="44"/>
          <w:szCs w:val="44"/>
        </w:rPr>
        <w:t>（征求意见稿）</w:t>
      </w:r>
    </w:p>
    <w:p w:rsidR="0028646B" w:rsidRDefault="0028646B">
      <w:pPr>
        <w:autoSpaceDE w:val="0"/>
        <w:autoSpaceDN w:val="0"/>
        <w:adjustRightInd w:val="0"/>
        <w:snapToGrid w:val="0"/>
        <w:spacing w:line="700" w:lineRule="exact"/>
        <w:rPr>
          <w:rFonts w:eastAsia="仿宋"/>
          <w:color w:val="000000" w:themeColor="text1"/>
          <w:sz w:val="24"/>
        </w:rPr>
      </w:pPr>
    </w:p>
    <w:p w:rsidR="0028646B" w:rsidRDefault="0068618A" w:rsidP="00783E27">
      <w:pPr>
        <w:autoSpaceDE w:val="0"/>
        <w:autoSpaceDN w:val="0"/>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本专家指引是一种专家建议。评估机构执行碳资产评估业务，可以参照本专家指引，也可以根据具体情况采用其他适当的做法。中国资产评估协会将根据业务发展，对本专家指引进行更新。</w:t>
      </w:r>
    </w:p>
    <w:p w:rsidR="0028646B" w:rsidRDefault="0068618A">
      <w:pPr>
        <w:spacing w:beforeLines="100" w:before="579" w:afterLines="100" w:after="579" w:line="578" w:lineRule="exact"/>
        <w:jc w:val="center"/>
        <w:outlineLvl w:val="1"/>
        <w:rPr>
          <w:rFonts w:ascii="Arial" w:eastAsia="黑体" w:hAnsi="Arial" w:cs="Arial"/>
          <w:color w:val="000000" w:themeColor="text1"/>
          <w:sz w:val="32"/>
          <w:szCs w:val="32"/>
        </w:rPr>
      </w:pPr>
      <w:r>
        <w:rPr>
          <w:rFonts w:ascii="Arial" w:eastAsia="黑体" w:hAnsi="Arial" w:cs="Arial"/>
          <w:color w:val="000000" w:themeColor="text1"/>
          <w:sz w:val="32"/>
          <w:szCs w:val="32"/>
        </w:rPr>
        <w:t>第一章</w:t>
      </w:r>
      <w:r>
        <w:rPr>
          <w:rFonts w:ascii="Arial" w:eastAsia="黑体" w:hAnsi="Arial" w:cs="Arial"/>
          <w:color w:val="000000" w:themeColor="text1"/>
          <w:sz w:val="32"/>
          <w:szCs w:val="32"/>
        </w:rPr>
        <w:t xml:space="preserve"> </w:t>
      </w:r>
      <w:r>
        <w:rPr>
          <w:rFonts w:ascii="Arial" w:eastAsia="黑体" w:hAnsi="Arial" w:cs="Arial"/>
          <w:color w:val="000000" w:themeColor="text1"/>
          <w:sz w:val="32"/>
          <w:szCs w:val="32"/>
        </w:rPr>
        <w:t>引言</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第一条</w:t>
      </w:r>
      <w:r>
        <w:rPr>
          <w:rFonts w:ascii="仿宋_GB2312" w:eastAsia="仿宋_GB2312" w:hint="eastAsia"/>
          <w:color w:val="000000" w:themeColor="text1"/>
          <w:sz w:val="32"/>
          <w:szCs w:val="32"/>
        </w:rPr>
        <w:t xml:space="preserve">  【起草依据】针对碳资产特点，结合实际操作中可能存在的部分难点和要点，中国资产评估协会组织制定了本专家指引。</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第二条</w:t>
      </w:r>
      <w:r>
        <w:rPr>
          <w:rFonts w:ascii="仿宋_GB2312" w:eastAsia="仿宋_GB2312" w:hint="eastAsia"/>
          <w:color w:val="000000" w:themeColor="text1"/>
          <w:sz w:val="32"/>
          <w:szCs w:val="32"/>
        </w:rPr>
        <w:t xml:space="preserve">  【碳资产定义】本专家指引所称碳资产，是指在碳排放权交易体系或温室气体自愿减排交易等机制下，特定主体拥有或控制的，作为生产经营要素或投资对象从而带来经济利益的资源，包括配额碳资产、减排碳资产、碳金融资产等。</w:t>
      </w:r>
    </w:p>
    <w:p w:rsidR="0028646B" w:rsidRDefault="0068618A" w:rsidP="00783E27">
      <w:pPr>
        <w:keepNext/>
        <w:keepLines/>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 xml:space="preserve">第三条  </w:t>
      </w:r>
      <w:r>
        <w:rPr>
          <w:rFonts w:ascii="仿宋_GB2312" w:eastAsia="仿宋_GB2312" w:hint="eastAsia"/>
          <w:color w:val="000000" w:themeColor="text1"/>
          <w:sz w:val="32"/>
          <w:szCs w:val="32"/>
        </w:rPr>
        <w:t>【碳资产评估定义】本专家指引所指碳资产评估，指评估机构及其评估人员根据委托对评估基准日特定目的下碳资产价值进行评定和估算，并出具评估报告的专业服务行为。</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第四条</w:t>
      </w:r>
      <w:r>
        <w:rPr>
          <w:rFonts w:ascii="仿宋_GB2312" w:eastAsia="仿宋_GB2312" w:hint="eastAsia"/>
          <w:color w:val="000000" w:themeColor="text1"/>
          <w:sz w:val="32"/>
          <w:szCs w:val="32"/>
        </w:rPr>
        <w:t xml:space="preserve">  【碳评估专业评估人员】开展碳评估相关的专业评估人员，应熟悉碳评估相关的知识，包括但不限于碳评估相关政</w:t>
      </w:r>
      <w:r>
        <w:rPr>
          <w:rFonts w:ascii="仿宋_GB2312" w:eastAsia="仿宋_GB2312" w:hint="eastAsia"/>
          <w:color w:val="000000" w:themeColor="text1"/>
          <w:sz w:val="32"/>
          <w:szCs w:val="32"/>
        </w:rPr>
        <w:lastRenderedPageBreak/>
        <w:t>策法规、碳交易规则、核证程序、主要碳减排技术手段等。</w:t>
      </w:r>
    </w:p>
    <w:p w:rsidR="0028646B" w:rsidRDefault="0068618A">
      <w:pPr>
        <w:spacing w:beforeLines="100" w:before="579" w:afterLines="100" w:after="579" w:line="578" w:lineRule="exact"/>
        <w:jc w:val="center"/>
        <w:outlineLvl w:val="1"/>
        <w:rPr>
          <w:rFonts w:ascii="Arial" w:eastAsia="黑体" w:hAnsi="Arial" w:cs="Arial"/>
          <w:color w:val="000000" w:themeColor="text1"/>
          <w:sz w:val="32"/>
          <w:szCs w:val="32"/>
        </w:rPr>
      </w:pPr>
      <w:r>
        <w:rPr>
          <w:rFonts w:ascii="Arial" w:eastAsia="黑体" w:hAnsi="Arial" w:cs="Arial" w:hint="eastAsia"/>
          <w:color w:val="000000" w:themeColor="text1"/>
          <w:sz w:val="32"/>
          <w:szCs w:val="32"/>
        </w:rPr>
        <w:t>第二章</w:t>
      </w:r>
      <w:r>
        <w:rPr>
          <w:rFonts w:ascii="Arial" w:eastAsia="黑体" w:hAnsi="Arial" w:cs="Arial" w:hint="eastAsia"/>
          <w:color w:val="000000" w:themeColor="text1"/>
          <w:sz w:val="32"/>
          <w:szCs w:val="32"/>
        </w:rPr>
        <w:t xml:space="preserve"> </w:t>
      </w:r>
      <w:r>
        <w:rPr>
          <w:rFonts w:ascii="Arial" w:eastAsia="黑体" w:hAnsi="Arial" w:cs="Arial" w:hint="eastAsia"/>
          <w:color w:val="000000" w:themeColor="text1"/>
          <w:sz w:val="32"/>
          <w:szCs w:val="32"/>
        </w:rPr>
        <w:t>碳资产分类、特征与价值来源</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第五条</w:t>
      </w:r>
      <w:r>
        <w:rPr>
          <w:rFonts w:ascii="仿宋_GB2312" w:eastAsia="仿宋_GB2312" w:hint="eastAsia"/>
          <w:color w:val="000000" w:themeColor="text1"/>
          <w:sz w:val="32"/>
          <w:szCs w:val="32"/>
        </w:rPr>
        <w:t xml:space="preserve">  【碳资产类型】碳资产可以分为配额碳资产、减排碳资产、碳金融资产。</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（一）配额碳资产：即碳排放配额，是经碳排放权交易主管部门核定、发放并允许纳入碳排放权交易的企业在特定时期内的二氧化碳排放量。</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（二）减排碳资产：是通过对我国境内可再生能源、林业碳汇、甲烷利用等项目的温室气体减排效果进行量化核证，并在国家温室气体自愿减排交易注册登记系统中登记的温室气体减排量。</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（三）碳金融资产：是围绕碳资产管理、碳减排技术和项目而开展的金融活动所形成的衍生资产，如碳期权、碳期货等。</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第六条  【</w:t>
      </w:r>
      <w:r>
        <w:rPr>
          <w:rFonts w:ascii="仿宋_GB2312" w:eastAsia="仿宋_GB2312" w:hint="eastAsia"/>
          <w:color w:val="000000" w:themeColor="text1"/>
          <w:sz w:val="32"/>
          <w:szCs w:val="32"/>
        </w:rPr>
        <w:t>碳资产特征</w:t>
      </w:r>
      <w:r>
        <w:rPr>
          <w:rFonts w:ascii="仿宋_GB2312" w:eastAsia="仿宋_GB2312" w:hint="eastAsia"/>
          <w:b/>
          <w:bCs/>
          <w:color w:val="000000" w:themeColor="text1"/>
          <w:sz w:val="32"/>
          <w:szCs w:val="32"/>
        </w:rPr>
        <w:t>】</w:t>
      </w:r>
      <w:r>
        <w:rPr>
          <w:rFonts w:ascii="仿宋_GB2312" w:eastAsia="仿宋_GB2312" w:hint="eastAsia"/>
          <w:color w:val="000000" w:themeColor="text1"/>
          <w:sz w:val="32"/>
          <w:szCs w:val="32"/>
        </w:rPr>
        <w:t>碳资产作为一种以数字化为载体的经济资源，具有稀缺性、消耗性、投资性、可透支性四个特征。</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（一）稀缺性。在温室气体排放量受到严格控制情况下，碳排放权成为一种具有稀缺属性的经济资源，并且随着管控越来越严格，碳资产的稀缺性与价值属性也会愈加明显。</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（二）消耗性。碳资产的最终用途为在生产经营中被企业消耗。消耗有两种方式：一是控排企业将碳排放配额用于履约清缴；二是持有企业将盈余的碳资产进行交易获取盈利。</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（三）投资性。企业可以通过有效的碳资产管理，结余碳排放配额或减排量，加以储存和出售换取经济利益；也可以通过市场交易获取碳排放权或者减排量，待有利时机开展投机性交易以赚取差价。</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第七条</w:t>
      </w:r>
      <w:r>
        <w:rPr>
          <w:rFonts w:ascii="仿宋_GB2312" w:eastAsia="仿宋_GB2312" w:hint="eastAsia"/>
          <w:color w:val="000000" w:themeColor="text1"/>
          <w:sz w:val="32"/>
          <w:szCs w:val="32"/>
        </w:rPr>
        <w:t xml:space="preserve">  【碳资产价值来源】碳资产作为企业生产经营活动中的重要要素，主要通过两种方式带来经济收益。第一，通过在生产或经营过程中消耗，使控排企业获得经济利益。第二，通过在碳交易市场上直接出售，获得经济利益。</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第八条</w:t>
      </w:r>
      <w:r>
        <w:rPr>
          <w:rFonts w:ascii="仿宋_GB2312" w:eastAsia="仿宋_GB2312" w:hint="eastAsia"/>
          <w:color w:val="000000" w:themeColor="text1"/>
          <w:sz w:val="32"/>
          <w:szCs w:val="32"/>
        </w:rPr>
        <w:t xml:space="preserve">  【碳资产价值影响因素】碳资产的价值影响因素通常包括气候环境因素、政策因素、经济因素、能源价格因素、企业因素和周期性因素等。资产评估人员应当对碳资产价值的影响因素情况进行分析，判断各种因素对碳资产价值的影响程度。</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（一）气候环境因素：气候环境变化对二氧化碳排放的影响具有即时性，炎热与寒冷会引发社会对能源的需求增加，二氧化碳排放量会明显增多，是影响碳资产价格波动的关键因素。</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二）政策因素：主要包括政府部门制定的碳配额总量、碳配额分配方式、碳抵销机制等碳减排相关政策。在目前碳交易体系下，碳排放配额的总量和分配计划是由政府综合考虑环境因素及减排目标，以及经济发展、产业及能源结构、重点减排企业情况等因素事先确定，这直接决定了碳资产的市场空间和总供给量，是影响碳资产价格水平的根本性因素。</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碳排放配额不足企业除购买碳排放配额外，碳市场还存在一</w:t>
      </w:r>
      <w:r>
        <w:rPr>
          <w:rFonts w:ascii="仿宋_GB2312" w:eastAsia="仿宋_GB2312" w:hint="eastAsia"/>
          <w:color w:val="000000" w:themeColor="text1"/>
          <w:sz w:val="32"/>
          <w:szCs w:val="32"/>
        </w:rPr>
        <w:lastRenderedPageBreak/>
        <w:t>种抵销机制，即允许企业购买国家核证自愿减排量（CCER）等同于碳排放配额（CEA）进行履约，但抵销条件和抵销比例受到一定限制。因此，抵销机制的政策安排同样能对碳资产价格产生影响。关注环境政策、碳排放配额总量设置、碳排放配额分配方案、碳抵销机制安排等，可以帮助评估人员判断政策因素对碳资产价值的影响程度。</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三）经济因素：宏观经济环境直接影响着社会生产消费需求，对碳资产交易价格的变动有着深刻影响。经济衰落时，生产消费低迷，碳排放活动和碳资产需求减少，从而导致碳资产价格下跌。经济繁荣时，生产消费积极，社会资源充分利用，对碳排放配额的需求增加，推动了碳资产价格上涨。</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四）能源价格因素：能源价格主要包括煤炭价格、石油价格、天然气价格、电力价格等。目前，煤、石油、天然气转变为电能热能是世界上碳排放量最大的工业过程，而不同能源原料成本不同，产生的碳排放量也不同，对碳排放配额需求及其价格有着重要影响。</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（五）企业因素：通常包括企业的行业属性、碳排放强度、生产规模、是否纳入控排范围、绿色技术创新水平等个体特征，主要通过影响碳资产需求对碳资产市场价格产生影响。</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（六）周期性因素：碳排放配额一般在年初分配、年末清缴，这些特征会造成碳资产在市场供需、流动性等方面呈现明显的周期性特点，进而对碳资产价格造成影响。</w:t>
      </w:r>
    </w:p>
    <w:p w:rsidR="0028646B" w:rsidRDefault="0068618A">
      <w:pPr>
        <w:pStyle w:val="af0"/>
        <w:numPr>
          <w:ilvl w:val="255"/>
          <w:numId w:val="0"/>
        </w:numPr>
        <w:autoSpaceDE w:val="0"/>
        <w:autoSpaceDN w:val="0"/>
        <w:adjustRightInd w:val="0"/>
        <w:snapToGrid w:val="0"/>
        <w:spacing w:beforeLines="100" w:before="579" w:afterLines="100" w:after="579" w:line="578" w:lineRule="exact"/>
        <w:jc w:val="center"/>
        <w:outlineLvl w:val="1"/>
        <w:rPr>
          <w:rFonts w:eastAsia="黑体"/>
          <w:color w:val="000000" w:themeColor="text1"/>
          <w:spacing w:val="-2"/>
          <w:sz w:val="32"/>
          <w:szCs w:val="32"/>
        </w:rPr>
      </w:pPr>
      <w:r>
        <w:rPr>
          <w:rFonts w:eastAsia="黑体" w:hint="eastAsia"/>
          <w:color w:val="000000" w:themeColor="text1"/>
          <w:spacing w:val="-2"/>
          <w:sz w:val="32"/>
          <w:szCs w:val="32"/>
        </w:rPr>
        <w:lastRenderedPageBreak/>
        <w:t>第三章</w:t>
      </w:r>
      <w:r>
        <w:rPr>
          <w:rFonts w:eastAsia="黑体"/>
          <w:color w:val="000000" w:themeColor="text1"/>
          <w:spacing w:val="-2"/>
          <w:sz w:val="32"/>
          <w:szCs w:val="32"/>
        </w:rPr>
        <w:t xml:space="preserve"> </w:t>
      </w:r>
      <w:r>
        <w:rPr>
          <w:rFonts w:eastAsia="黑体" w:hint="eastAsia"/>
          <w:color w:val="000000" w:themeColor="text1"/>
          <w:spacing w:val="-2"/>
          <w:sz w:val="32"/>
          <w:szCs w:val="32"/>
        </w:rPr>
        <w:t>评估基本事项</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第九条</w:t>
      </w:r>
      <w:r>
        <w:rPr>
          <w:rFonts w:ascii="仿宋_GB2312" w:eastAsia="仿宋_GB2312" w:hint="eastAsia"/>
          <w:color w:val="000000" w:themeColor="text1"/>
          <w:sz w:val="32"/>
          <w:szCs w:val="32"/>
        </w:rPr>
        <w:t xml:space="preserve">  【基本事项】资产评估机构开展碳资产评估业务，需要与委托人沟通并明确如下事项：评估对象和范围、评估目的、价值类型、评估基准日等。</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第十条</w:t>
      </w:r>
      <w:r>
        <w:rPr>
          <w:rFonts w:ascii="仿宋_GB2312" w:eastAsia="仿宋_GB2312" w:hint="eastAsia"/>
          <w:color w:val="000000" w:themeColor="text1"/>
          <w:sz w:val="32"/>
          <w:szCs w:val="32"/>
        </w:rPr>
        <w:t xml:space="preserve">  【评估对象和评估范围】专业评估人员在碳资产的评估中首先应明确评估对象，了解碳资产相关的政策法规背景。在碳资产组或者资产组组合的评估中，应同时识别资产组或资产组组合中除碳资产外的其他生产要素，与碳资产加以区分。在碳金融资产的评估中，专业评估人员应辨别碳资产相关的各项权利与义务，理解碳金融资产合同中涉及的核心资产与其他资产，在评估中分别考虑。</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第十一条</w:t>
      </w:r>
      <w:r>
        <w:rPr>
          <w:rFonts w:ascii="仿宋_GB2312" w:eastAsia="仿宋_GB2312" w:hint="eastAsia"/>
          <w:color w:val="000000" w:themeColor="text1"/>
          <w:sz w:val="32"/>
          <w:szCs w:val="32"/>
        </w:rPr>
        <w:t xml:space="preserve">  【评估目的】碳资产评估目的通常包括碳资产的交易、抵（质）押和财务报告等。</w:t>
      </w:r>
    </w:p>
    <w:p w:rsidR="0028646B" w:rsidRDefault="0068618A" w:rsidP="00783E27">
      <w:pPr>
        <w:autoSpaceDE w:val="0"/>
        <w:autoSpaceDN w:val="0"/>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（一）交易目的：碳资产评估作为确定交易价格的基础和参考，评估结果是否合理与准确将影响交易双方的利益。</w:t>
      </w:r>
    </w:p>
    <w:p w:rsidR="0028646B" w:rsidRDefault="0068618A" w:rsidP="00783E27">
      <w:pPr>
        <w:autoSpaceDE w:val="0"/>
        <w:autoSpaceDN w:val="0"/>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二）抵（质）押目的：当产权持有人以碳资产为抵（质）押向金融机构或其他非金融机构进行融资时，需要对作为抵（质）押物的碳资产进行价值评估。贷款方通常按评估值的一定比例来确定发放贷款的额度。当贷款期届满，债务人不履行债务合同义务时，债权人有权依法将相关抵（质）押资产拍卖、变卖，并以所得价款优先受偿。</w:t>
      </w:r>
    </w:p>
    <w:p w:rsidR="0028646B" w:rsidRDefault="0068618A" w:rsidP="00783E27">
      <w:pPr>
        <w:autoSpaceDE w:val="0"/>
        <w:autoSpaceDN w:val="0"/>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三）财务报告目的：企业在编制财务报告时，通常需要对碳资产进行评估。对涉及的碳资产进行评估时，需要资产评估机构及资产评估人员遵守法律、行政法规、资产评估准则和企业会计准则及会计核算、披露的有关要求，对评估基准日以财务报告为目的所涉及的各类碳资产的公允价值或特定价值进行评定和估算，提供专业服务，并出具资产评估（估值）报告。</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第十二条</w:t>
      </w:r>
      <w:r>
        <w:rPr>
          <w:rFonts w:ascii="仿宋_GB2312" w:eastAsia="仿宋_GB2312" w:hint="eastAsia"/>
          <w:color w:val="000000" w:themeColor="text1"/>
          <w:sz w:val="32"/>
          <w:szCs w:val="32"/>
        </w:rPr>
        <w:t xml:space="preserve">  【价值类型】资产评估人员应当结合碳资产评估委托事项或者碳资产评估报告使用需求所对应的评估目的和评估对象，确定相应的评估价值类型。碳资产评估常见的价值类型包括市场价值、投资价值、在用价值、清算价值等。</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第十三条</w:t>
      </w:r>
      <w:r>
        <w:rPr>
          <w:rFonts w:ascii="仿宋_GB2312" w:eastAsia="仿宋_GB2312" w:hint="eastAsia"/>
          <w:color w:val="000000" w:themeColor="text1"/>
          <w:sz w:val="32"/>
          <w:szCs w:val="32"/>
        </w:rPr>
        <w:t xml:space="preserve">  【利用专家工作】适当情况下，评估人员应合理利用专家工作，如碳资产核查报告、重大评估假设判断等，结合评估人员的专业经验开展资产评估工作。</w:t>
      </w:r>
    </w:p>
    <w:p w:rsidR="0028646B" w:rsidRDefault="0068618A">
      <w:pPr>
        <w:pStyle w:val="af0"/>
        <w:numPr>
          <w:ilvl w:val="255"/>
          <w:numId w:val="0"/>
        </w:numPr>
        <w:autoSpaceDE w:val="0"/>
        <w:autoSpaceDN w:val="0"/>
        <w:adjustRightInd w:val="0"/>
        <w:snapToGrid w:val="0"/>
        <w:spacing w:beforeLines="100" w:before="579" w:afterLines="100" w:after="579" w:line="578" w:lineRule="exact"/>
        <w:jc w:val="center"/>
        <w:outlineLvl w:val="1"/>
        <w:rPr>
          <w:rFonts w:eastAsia="黑体"/>
          <w:color w:val="000000" w:themeColor="text1"/>
          <w:spacing w:val="-2"/>
          <w:sz w:val="32"/>
          <w:szCs w:val="32"/>
        </w:rPr>
      </w:pPr>
      <w:r>
        <w:rPr>
          <w:rFonts w:eastAsia="黑体" w:hint="eastAsia"/>
          <w:color w:val="000000" w:themeColor="text1"/>
          <w:spacing w:val="-2"/>
          <w:sz w:val="32"/>
          <w:szCs w:val="32"/>
        </w:rPr>
        <w:t>第四章</w:t>
      </w:r>
      <w:r>
        <w:rPr>
          <w:rFonts w:eastAsia="黑体"/>
          <w:color w:val="000000" w:themeColor="text1"/>
          <w:spacing w:val="-2"/>
          <w:sz w:val="32"/>
          <w:szCs w:val="32"/>
        </w:rPr>
        <w:t xml:space="preserve"> </w:t>
      </w:r>
      <w:r>
        <w:rPr>
          <w:rFonts w:eastAsia="黑体" w:hint="eastAsia"/>
          <w:color w:val="000000" w:themeColor="text1"/>
          <w:spacing w:val="-2"/>
          <w:sz w:val="32"/>
          <w:szCs w:val="32"/>
        </w:rPr>
        <w:t>评估方法</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第十四条</w:t>
      </w:r>
      <w:r>
        <w:rPr>
          <w:rFonts w:ascii="仿宋_GB2312" w:eastAsia="仿宋_GB2312" w:hint="eastAsia"/>
          <w:color w:val="000000" w:themeColor="text1"/>
          <w:sz w:val="32"/>
          <w:szCs w:val="32"/>
        </w:rPr>
        <w:t xml:space="preserve">  【方法列举】资产评估方法是指评定估算碳资产价值所采用的途径和技术手段的总和，主要包括市场法、成本法和收益法三种基本方法及其衍生方法，以及其他创新方法如实物期权法、影子价格法等。</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第十五条</w:t>
      </w:r>
      <w:r>
        <w:rPr>
          <w:rFonts w:ascii="仿宋_GB2312" w:eastAsia="仿宋_GB2312" w:hint="eastAsia"/>
          <w:color w:val="000000" w:themeColor="text1"/>
          <w:sz w:val="32"/>
          <w:szCs w:val="32"/>
        </w:rPr>
        <w:t xml:space="preserve">  【市场法】市场法利用市场上同样或者类似碳资产的近期或往期交易价格，通过直接比较或者类比分析评估碳资</w:t>
      </w:r>
      <w:r>
        <w:rPr>
          <w:rFonts w:ascii="仿宋_GB2312" w:eastAsia="仿宋_GB2312" w:hint="eastAsia"/>
          <w:color w:val="000000" w:themeColor="text1"/>
          <w:sz w:val="32"/>
          <w:szCs w:val="32"/>
        </w:rPr>
        <w:lastRenderedPageBreak/>
        <w:t>产价值。</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第十六条</w:t>
      </w:r>
      <w:r>
        <w:rPr>
          <w:rFonts w:ascii="仿宋_GB2312" w:eastAsia="仿宋_GB2312" w:hint="eastAsia"/>
          <w:color w:val="000000" w:themeColor="text1"/>
          <w:sz w:val="32"/>
          <w:szCs w:val="32"/>
        </w:rPr>
        <w:t xml:space="preserve">  【适用性分析】使用市场法的前提条件是存在成熟有效的碳资产交易市场，并能够在市场上找到同样或类似的碳资产交易。资产评估人员需要根据碳资产价值的影响因素，利用所获取碳资产数据资料的充分性和可靠性、产权持有人的情况、价值类型，考虑市场法的适用性。</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第十七条</w:t>
      </w:r>
      <w:r>
        <w:rPr>
          <w:rFonts w:ascii="仿宋_GB2312" w:eastAsia="仿宋_GB2312" w:hint="eastAsia"/>
          <w:color w:val="000000" w:themeColor="text1"/>
          <w:sz w:val="32"/>
          <w:szCs w:val="32"/>
        </w:rPr>
        <w:t xml:space="preserve">  【碳价选取】使用市场法执行碳资产评估业务时，应当在充分了解被评估碳资产的情况后，搜集类似碳资产交易案例相关信息，类似交易的选取应当充分考虑碳资产类型、交易场所、交易日期等因素对碳价的影响。</w:t>
      </w:r>
    </w:p>
    <w:p w:rsidR="0028646B" w:rsidRDefault="0068618A" w:rsidP="00783E27">
      <w:pPr>
        <w:autoSpaceDE w:val="0"/>
        <w:autoSpaceDN w:val="0"/>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（一）不同类型碳资产在资产属性、开发成本、市场准入、供求情况、履约条件、监管政策等方面均不相同，价格也因此存在差异。</w:t>
      </w:r>
    </w:p>
    <w:p w:rsidR="0028646B" w:rsidRDefault="0068618A" w:rsidP="00783E27">
      <w:pPr>
        <w:autoSpaceDE w:val="0"/>
        <w:autoSpaceDN w:val="0"/>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（二）碳资产进行交易的场所不同，价格也有所不同。碳价选取需考虑所在地区的环境政策、碳市场的交易活跃程度，并适当剔除波动性因素。</w:t>
      </w:r>
    </w:p>
    <w:p w:rsidR="0028646B" w:rsidRDefault="0068618A" w:rsidP="00783E27">
      <w:pPr>
        <w:autoSpaceDE w:val="0"/>
        <w:autoSpaceDN w:val="0"/>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（三）碳资产交易具有较强的周期性。临近碳资产清缴日，交易相对活跃；碳资产清缴结束后，市场需求平淡。因此，评估中应当充分考虑周期性因素，选择相同或相近日期的碳资产交易价格作为参考基准。</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第十八条</w:t>
      </w:r>
      <w:r>
        <w:rPr>
          <w:rFonts w:ascii="仿宋_GB2312" w:eastAsia="仿宋_GB2312" w:hint="eastAsia"/>
          <w:color w:val="000000" w:themeColor="text1"/>
          <w:sz w:val="32"/>
          <w:szCs w:val="32"/>
        </w:rPr>
        <w:t xml:space="preserve">  【碳价修正】使用市场法执行碳资产评估业务时，评估人员应当以待估碳资产所处市场的碳交易价格为基础，根据</w:t>
      </w:r>
      <w:r>
        <w:rPr>
          <w:rFonts w:ascii="仿宋_GB2312" w:eastAsia="仿宋_GB2312" w:hint="eastAsia"/>
          <w:color w:val="000000" w:themeColor="text1"/>
          <w:sz w:val="32"/>
          <w:szCs w:val="32"/>
        </w:rPr>
        <w:lastRenderedPageBreak/>
        <w:t>不同的评估目的，进行适当修正。</w:t>
      </w:r>
    </w:p>
    <w:p w:rsidR="0028646B" w:rsidRDefault="0068618A" w:rsidP="00783E27">
      <w:pPr>
        <w:autoSpaceDE w:val="0"/>
        <w:autoSpaceDN w:val="0"/>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评估减排碳资产价值，应充分考虑减排项目开发流程及期限因素，并对未来年度的碳价进行合理预测。预测未来年度的碳价，可根据碳市场发展状况、国家碳减排政策、社会碳排放强度等因素，综合分析确定合理的溢价或折价。</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第十九条</w:t>
      </w:r>
      <w:r>
        <w:rPr>
          <w:rFonts w:ascii="仿宋_GB2312" w:eastAsia="仿宋_GB2312" w:hint="eastAsia"/>
          <w:color w:val="000000" w:themeColor="text1"/>
          <w:sz w:val="32"/>
          <w:szCs w:val="32"/>
        </w:rPr>
        <w:t xml:space="preserve">  当前正值碳交易市场快速发展期，交易透明度、信息公开度不断提升。市场法能够充分利用碳交易市场信息，简单易行且直观易懂，是目前碳资产评估普遍采用的方法。</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第二十条</w:t>
      </w:r>
      <w:r>
        <w:rPr>
          <w:rFonts w:ascii="仿宋_GB2312" w:eastAsia="仿宋_GB2312" w:hint="eastAsia"/>
          <w:color w:val="000000" w:themeColor="text1"/>
          <w:sz w:val="32"/>
          <w:szCs w:val="32"/>
        </w:rPr>
        <w:t xml:space="preserve">  【成本法】成本法通过估测碳资产的重置成本得到资产价值。运用成本法执行碳资产评估业务时，需要根据碳资产形成的全部投入，分析碳资产价值与成本的相关程度，考虑成本法的适用性。</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对于正在开发阶段的碳减排项目，在碳减排当量尚未核证的情况下，可以考虑使用成本法评估碳资产价值，但应确认该类减排项目属于相关减排机制允许的项目范围内。</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第二十一条</w:t>
      </w:r>
      <w:r>
        <w:rPr>
          <w:rFonts w:ascii="仿宋_GB2312" w:eastAsia="仿宋_GB2312" w:hint="eastAsia"/>
          <w:color w:val="000000" w:themeColor="text1"/>
          <w:sz w:val="32"/>
          <w:szCs w:val="32"/>
        </w:rPr>
        <w:t xml:space="preserve">  【重置成本】运用成本法执行碳资产价值评估业务时，主要考虑碳资产的重置成本。碳资产重置成本，包括合理的成本、利润和相关税费，一般不考虑碳资产的贬值因素。合理的成本包括直接成本和间接费用。</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第二十二条</w:t>
      </w:r>
      <w:r>
        <w:rPr>
          <w:rFonts w:ascii="仿宋_GB2312" w:eastAsia="仿宋_GB2312" w:hint="eastAsia"/>
          <w:color w:val="000000" w:themeColor="text1"/>
          <w:sz w:val="32"/>
          <w:szCs w:val="32"/>
        </w:rPr>
        <w:t xml:space="preserve">  碳资产的重置成本因碳资产类型不同而有所差异。配额碳资产的重置成本为产权持有人在一级市场或二级市场获取碳资产的相关成本。减排碳资产的重置成本为减排项目的设</w:t>
      </w:r>
      <w:r>
        <w:rPr>
          <w:rFonts w:ascii="仿宋_GB2312" w:eastAsia="仿宋_GB2312" w:hint="eastAsia"/>
          <w:color w:val="000000" w:themeColor="text1"/>
          <w:sz w:val="32"/>
          <w:szCs w:val="32"/>
        </w:rPr>
        <w:lastRenderedPageBreak/>
        <w:t>计、开发、审定、核证等程序中花费的成本及相关费用，并需要考虑相关资产的折旧或摊销、资金成本。</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第二十三条</w:t>
      </w:r>
      <w:r>
        <w:rPr>
          <w:rFonts w:ascii="仿宋_GB2312" w:eastAsia="仿宋_GB2312" w:hint="eastAsia"/>
          <w:color w:val="000000" w:themeColor="text1"/>
          <w:sz w:val="32"/>
          <w:szCs w:val="32"/>
        </w:rPr>
        <w:t xml:space="preserve">  【收益法】收益法通过估测碳资产未来预期收益的现值确定资产价值，主要适用于评估碳资产</w:t>
      </w:r>
      <w:r>
        <w:rPr>
          <w:rFonts w:ascii="仿宋_GB2312" w:eastAsia="仿宋_GB2312" w:hAnsi="仿宋" w:hint="eastAsia"/>
          <w:sz w:val="32"/>
          <w:szCs w:val="32"/>
        </w:rPr>
        <w:t>市场价值以外的价值类型，</w:t>
      </w:r>
      <w:r>
        <w:rPr>
          <w:rFonts w:ascii="仿宋_GB2312" w:eastAsia="仿宋_GB2312" w:hAnsi="仿宋"/>
          <w:sz w:val="32"/>
          <w:szCs w:val="32"/>
        </w:rPr>
        <w:t>为</w:t>
      </w:r>
      <w:r>
        <w:rPr>
          <w:rFonts w:ascii="仿宋_GB2312" w:eastAsia="仿宋_GB2312" w:hAnsi="仿宋" w:hint="eastAsia"/>
          <w:sz w:val="32"/>
          <w:szCs w:val="32"/>
        </w:rPr>
        <w:t>企业碳资产管理决策提供参考</w:t>
      </w:r>
      <w:r>
        <w:rPr>
          <w:rFonts w:ascii="仿宋_GB2312" w:eastAsia="仿宋_GB2312" w:hint="eastAsia"/>
          <w:color w:val="000000" w:themeColor="text1"/>
          <w:sz w:val="32"/>
          <w:szCs w:val="32"/>
        </w:rPr>
        <w:t>。</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在运用收益法执行碳资产价值评估业务时，应当在获取碳资产相关信息的基础上，结合碳资产的具体用途，重点分析碳资产经济收益的可预测性，考虑收益法的适用性。</w:t>
      </w:r>
    </w:p>
    <w:p w:rsidR="0028646B" w:rsidRDefault="0068618A" w:rsidP="00783E27">
      <w:pPr>
        <w:pStyle w:val="af0"/>
        <w:numPr>
          <w:ilvl w:val="255"/>
          <w:numId w:val="0"/>
        </w:numPr>
        <w:autoSpaceDE w:val="0"/>
        <w:autoSpaceDN w:val="0"/>
        <w:adjustRightInd w:val="0"/>
        <w:snapToGrid w:val="0"/>
        <w:spacing w:afterLines="50" w:after="289"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第二十四条</w:t>
      </w:r>
      <w:r>
        <w:rPr>
          <w:rFonts w:ascii="仿宋_GB2312" w:eastAsia="仿宋_GB2312" w:hint="eastAsia"/>
          <w:color w:val="000000" w:themeColor="text1"/>
          <w:sz w:val="32"/>
          <w:szCs w:val="32"/>
        </w:rPr>
        <w:t xml:space="preserve">  【关键参数】使用收益法的关键在于，有效计算碳资产的预期收益，合理确定折现率等关键参数。</w:t>
      </w:r>
    </w:p>
    <w:p w:rsidR="0028646B" w:rsidRDefault="0068618A">
      <w:pPr>
        <w:pStyle w:val="af0"/>
        <w:spacing w:line="578" w:lineRule="exact"/>
        <w:ind w:firstLine="630"/>
        <w:rPr>
          <w:rFonts w:ascii="仿宋_GB2312" w:eastAsia="仿宋_GB2312"/>
          <w:color w:val="000000" w:themeColor="text1"/>
          <w:sz w:val="32"/>
          <w:szCs w:val="32"/>
        </w:rPr>
      </w:pPr>
      <m:oMathPara>
        <m:oMath>
          <m:r>
            <w:rPr>
              <w:rFonts w:ascii="Cambria Math" w:eastAsia="仿宋_GB2312" w:hAnsi="Cambria Math"/>
              <w:color w:val="000000" w:themeColor="text1"/>
              <w:sz w:val="32"/>
              <w:szCs w:val="32"/>
            </w:rPr>
            <m:t xml:space="preserve">  P=</m:t>
          </m:r>
          <m:nary>
            <m:naryPr>
              <m:chr m:val="∑"/>
              <m:limLoc m:val="undOvr"/>
              <m:ctrlPr>
                <w:rPr>
                  <w:rFonts w:ascii="Cambria Math" w:eastAsia="仿宋_GB2312" w:hAnsi="Cambria Math" w:hint="eastAsia"/>
                  <w:color w:val="000000" w:themeColor="text1"/>
                  <w:sz w:val="32"/>
                  <w:szCs w:val="32"/>
                </w:rPr>
              </m:ctrlPr>
            </m:naryPr>
            <m:sub>
              <m:r>
                <w:rPr>
                  <w:rFonts w:ascii="Cambria Math" w:eastAsia="仿宋_GB2312" w:hAnsi="Cambria Math" w:hint="eastAsia"/>
                  <w:color w:val="000000" w:themeColor="text1"/>
                  <w:sz w:val="32"/>
                  <w:szCs w:val="32"/>
                </w:rPr>
                <m:t>t=1</m:t>
              </m:r>
            </m:sub>
            <m:sup>
              <m:r>
                <w:rPr>
                  <w:rFonts w:ascii="Cambria Math" w:eastAsia="仿宋_GB2312" w:hAnsi="Cambria Math" w:hint="eastAsia"/>
                  <w:color w:val="000000" w:themeColor="text1"/>
                  <w:sz w:val="32"/>
                  <w:szCs w:val="32"/>
                </w:rPr>
                <m:t>n</m:t>
              </m:r>
            </m:sup>
            <m:e>
              <m:f>
                <m:fPr>
                  <m:ctrlPr>
                    <w:rPr>
                      <w:rFonts w:ascii="Cambria Math" w:eastAsia="仿宋_GB2312" w:hAnsi="Cambria Math" w:hint="eastAsia"/>
                      <w:i/>
                      <w:color w:val="000000" w:themeColor="text1"/>
                      <w:sz w:val="32"/>
                      <w:szCs w:val="32"/>
                    </w:rPr>
                  </m:ctrlPr>
                </m:fPr>
                <m:num>
                  <m:sSub>
                    <m:sSubPr>
                      <m:ctrlPr>
                        <w:rPr>
                          <w:rFonts w:ascii="Cambria Math" w:eastAsia="仿宋_GB2312" w:hAnsi="Cambria Math" w:hint="eastAsia"/>
                          <w:i/>
                          <w:color w:val="000000" w:themeColor="text1"/>
                          <w:sz w:val="32"/>
                          <w:szCs w:val="32"/>
                        </w:rPr>
                      </m:ctrlPr>
                    </m:sSubPr>
                    <m:e>
                      <m:r>
                        <w:rPr>
                          <w:rFonts w:ascii="Cambria Math" w:eastAsia="仿宋_GB2312" w:hAnsi="Cambria Math" w:hint="eastAsia"/>
                          <w:color w:val="000000" w:themeColor="text1"/>
                          <w:sz w:val="32"/>
                          <w:szCs w:val="32"/>
                        </w:rPr>
                        <m:t>F</m:t>
                      </m:r>
                    </m:e>
                    <m:sub>
                      <m:r>
                        <w:rPr>
                          <w:rFonts w:ascii="Cambria Math" w:eastAsia="仿宋_GB2312" w:hAnsi="Cambria Math" w:hint="eastAsia"/>
                          <w:color w:val="000000" w:themeColor="text1"/>
                          <w:sz w:val="32"/>
                          <w:szCs w:val="32"/>
                        </w:rPr>
                        <m:t>t</m:t>
                      </m:r>
                    </m:sub>
                  </m:sSub>
                </m:num>
                <m:den>
                  <m:sSup>
                    <m:sSupPr>
                      <m:ctrlPr>
                        <w:rPr>
                          <w:rFonts w:ascii="Cambria Math" w:eastAsia="仿宋_GB2312" w:hAnsi="Cambria Math" w:hint="eastAsia"/>
                          <w:i/>
                          <w:color w:val="000000" w:themeColor="text1"/>
                          <w:sz w:val="32"/>
                          <w:szCs w:val="32"/>
                        </w:rPr>
                      </m:ctrlPr>
                    </m:sSupPr>
                    <m:e>
                      <m:d>
                        <m:dPr>
                          <m:ctrlPr>
                            <w:rPr>
                              <w:rFonts w:ascii="Cambria Math" w:eastAsia="仿宋_GB2312" w:hAnsi="Cambria Math" w:hint="eastAsia"/>
                              <w:i/>
                              <w:color w:val="000000" w:themeColor="text1"/>
                              <w:sz w:val="32"/>
                              <w:szCs w:val="32"/>
                            </w:rPr>
                          </m:ctrlPr>
                        </m:dPr>
                        <m:e>
                          <m:r>
                            <w:rPr>
                              <w:rFonts w:ascii="Cambria Math" w:eastAsia="仿宋_GB2312" w:hAnsi="Cambria Math" w:hint="eastAsia"/>
                              <w:color w:val="000000" w:themeColor="text1"/>
                              <w:sz w:val="32"/>
                              <w:szCs w:val="32"/>
                            </w:rPr>
                            <m:t>1+r</m:t>
                          </m:r>
                        </m:e>
                      </m:d>
                    </m:e>
                    <m:sup>
                      <m:r>
                        <w:rPr>
                          <w:rFonts w:ascii="Cambria Math" w:eastAsia="仿宋_GB2312" w:hAnsi="Cambria Math" w:hint="eastAsia"/>
                          <w:color w:val="000000" w:themeColor="text1"/>
                          <w:sz w:val="32"/>
                          <w:szCs w:val="32"/>
                        </w:rPr>
                        <m:t>t</m:t>
                      </m:r>
                    </m:sup>
                  </m:sSup>
                </m:den>
              </m:f>
            </m:e>
          </m:nary>
        </m:oMath>
      </m:oMathPara>
    </w:p>
    <w:p w:rsidR="0028646B" w:rsidRDefault="0068618A">
      <w:pPr>
        <w:pStyle w:val="af0"/>
        <w:autoSpaceDE w:val="0"/>
        <w:autoSpaceDN w:val="0"/>
        <w:adjustRightInd w:val="0"/>
        <w:snapToGrid w:val="0"/>
        <w:spacing w:beforeLines="50" w:before="289"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式中：</w:t>
      </w:r>
      <m:oMath>
        <m:r>
          <w:rPr>
            <w:rFonts w:ascii="Cambria Math" w:eastAsia="仿宋_GB2312" w:hAnsi="Cambria Math" w:hint="eastAsia"/>
            <w:color w:val="000000" w:themeColor="text1"/>
            <w:sz w:val="32"/>
            <w:szCs w:val="32"/>
          </w:rPr>
          <m:t>P</m:t>
        </m:r>
      </m:oMath>
      <w:r>
        <w:rPr>
          <w:rFonts w:ascii="仿宋_GB2312" w:eastAsia="仿宋_GB2312" w:hint="eastAsia"/>
          <w:color w:val="000000" w:themeColor="text1"/>
          <w:sz w:val="32"/>
          <w:szCs w:val="32"/>
        </w:rPr>
        <w:t>为碳资产的评估价值</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color w:val="000000" w:themeColor="text1"/>
          <w:sz w:val="32"/>
          <w:szCs w:val="32"/>
        </w:rPr>
        <w:t xml:space="preserve">      </w:t>
      </w:r>
      <m:oMath>
        <m:sSub>
          <m:sSubPr>
            <m:ctrlPr>
              <w:rPr>
                <w:rFonts w:ascii="Cambria Math" w:eastAsia="仿宋_GB2312" w:hAnsi="Cambria Math" w:hint="eastAsia"/>
                <w:i/>
                <w:color w:val="000000" w:themeColor="text1"/>
                <w:sz w:val="32"/>
                <w:szCs w:val="32"/>
              </w:rPr>
            </m:ctrlPr>
          </m:sSubPr>
          <m:e>
            <m:r>
              <w:rPr>
                <w:rFonts w:ascii="Cambria Math" w:eastAsia="仿宋_GB2312" w:hAnsi="Cambria Math" w:hint="eastAsia"/>
                <w:color w:val="000000" w:themeColor="text1"/>
                <w:sz w:val="32"/>
                <w:szCs w:val="32"/>
              </w:rPr>
              <m:t>F</m:t>
            </m:r>
          </m:e>
          <m:sub>
            <m:r>
              <w:rPr>
                <w:rFonts w:ascii="Cambria Math" w:eastAsia="仿宋_GB2312" w:hAnsi="Cambria Math" w:hint="eastAsia"/>
                <w:color w:val="000000" w:themeColor="text1"/>
                <w:sz w:val="32"/>
                <w:szCs w:val="32"/>
              </w:rPr>
              <m:t>t</m:t>
            </m:r>
          </m:sub>
        </m:sSub>
      </m:oMath>
      <w:r>
        <w:rPr>
          <w:rFonts w:ascii="仿宋_GB2312" w:eastAsia="仿宋_GB2312" w:hint="eastAsia"/>
          <w:color w:val="000000" w:themeColor="text1"/>
          <w:sz w:val="32"/>
          <w:szCs w:val="32"/>
        </w:rPr>
        <w:t>为第</w:t>
      </w:r>
      <m:oMath>
        <m:r>
          <w:rPr>
            <w:rFonts w:ascii="Cambria Math" w:eastAsia="仿宋_GB2312" w:hAnsi="Cambria Math" w:hint="eastAsia"/>
            <w:color w:val="000000" w:themeColor="text1"/>
            <w:sz w:val="32"/>
            <w:szCs w:val="32"/>
          </w:rPr>
          <m:t>t</m:t>
        </m:r>
      </m:oMath>
      <w:r>
        <w:rPr>
          <w:rFonts w:ascii="仿宋_GB2312" w:eastAsia="仿宋_GB2312" w:hint="eastAsia"/>
          <w:color w:val="000000" w:themeColor="text1"/>
          <w:sz w:val="32"/>
          <w:szCs w:val="32"/>
        </w:rPr>
        <w:t>期碳资产的预期收益</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m:oMath>
        <m:r>
          <w:rPr>
            <w:rFonts w:ascii="Cambria Math" w:eastAsia="仿宋_GB2312" w:hAnsi="Cambria Math" w:hint="eastAsia"/>
            <w:color w:val="000000" w:themeColor="text1"/>
            <w:sz w:val="32"/>
            <w:szCs w:val="32"/>
          </w:rPr>
          <m:t>r</m:t>
        </m:r>
      </m:oMath>
      <w:r>
        <w:rPr>
          <w:rFonts w:ascii="仿宋_GB2312" w:eastAsia="仿宋_GB2312" w:hint="eastAsia"/>
          <w:color w:val="000000" w:themeColor="text1"/>
          <w:sz w:val="32"/>
          <w:szCs w:val="32"/>
        </w:rPr>
        <w:t>为折现率</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color w:val="000000" w:themeColor="text1"/>
          <w:sz w:val="32"/>
          <w:szCs w:val="32"/>
        </w:rPr>
        <w:t xml:space="preserve">      </w:t>
      </w:r>
      <m:oMath>
        <m:r>
          <w:rPr>
            <w:rFonts w:ascii="Cambria Math" w:eastAsia="仿宋_GB2312" w:hAnsi="Cambria Math"/>
            <w:color w:val="000000" w:themeColor="text1"/>
            <w:sz w:val="32"/>
            <w:szCs w:val="32"/>
          </w:rPr>
          <m:t>t</m:t>
        </m:r>
      </m:oMath>
      <w:r>
        <w:rPr>
          <w:rFonts w:ascii="仿宋_GB2312" w:eastAsia="仿宋_GB2312" w:hint="eastAsia"/>
          <w:color w:val="000000" w:themeColor="text1"/>
          <w:sz w:val="32"/>
          <w:szCs w:val="32"/>
        </w:rPr>
        <w:t>为收益预测年期</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color w:val="000000" w:themeColor="text1"/>
          <w:sz w:val="32"/>
          <w:szCs w:val="32"/>
        </w:rPr>
        <w:t xml:space="preserve">      </w:t>
      </w:r>
      <m:oMath>
        <m:r>
          <w:rPr>
            <w:rFonts w:ascii="Cambria Math" w:eastAsia="仿宋_GB2312" w:hAnsi="Cambria Math"/>
            <w:color w:val="000000" w:themeColor="text1"/>
            <w:sz w:val="32"/>
            <w:szCs w:val="32"/>
          </w:rPr>
          <m:t>n</m:t>
        </m:r>
      </m:oMath>
      <w:r>
        <w:rPr>
          <w:rFonts w:ascii="仿宋_GB2312" w:eastAsia="仿宋_GB2312" w:hint="eastAsia"/>
          <w:color w:val="000000" w:themeColor="text1"/>
          <w:sz w:val="32"/>
          <w:szCs w:val="32"/>
        </w:rPr>
        <w:t>为收益预测期限</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当待评估碳资产为用于排放目的配额碳资产时，</w:t>
      </w:r>
      <m:oMath>
        <m:sSub>
          <m:sSubPr>
            <m:ctrlPr>
              <w:rPr>
                <w:rFonts w:ascii="Cambria Math" w:eastAsia="仿宋_GB2312" w:hAnsi="Cambria Math" w:hint="eastAsia"/>
                <w:i/>
                <w:color w:val="000000" w:themeColor="text1"/>
                <w:sz w:val="32"/>
                <w:szCs w:val="32"/>
              </w:rPr>
            </m:ctrlPr>
          </m:sSubPr>
          <m:e>
            <m:r>
              <w:rPr>
                <w:rFonts w:ascii="Cambria Math" w:eastAsia="仿宋_GB2312" w:hAnsi="Cambria Math"/>
                <w:color w:val="000000" w:themeColor="text1"/>
                <w:sz w:val="32"/>
                <w:szCs w:val="32"/>
              </w:rPr>
              <m:t>F</m:t>
            </m:r>
          </m:e>
          <m:sub>
            <m:r>
              <w:rPr>
                <w:rFonts w:ascii="Cambria Math" w:eastAsia="仿宋_GB2312" w:hAnsi="Cambria Math"/>
                <w:color w:val="000000" w:themeColor="text1"/>
                <w:sz w:val="32"/>
                <w:szCs w:val="32"/>
              </w:rPr>
              <m:t>t</m:t>
            </m:r>
          </m:sub>
        </m:sSub>
      </m:oMath>
      <w:r>
        <w:rPr>
          <w:rFonts w:ascii="仿宋_GB2312" w:eastAsia="仿宋_GB2312" w:hint="eastAsia"/>
          <w:color w:val="000000" w:themeColor="text1"/>
          <w:sz w:val="32"/>
          <w:szCs w:val="32"/>
        </w:rPr>
        <w:t>是第</w:t>
      </w:r>
      <m:oMath>
        <m:r>
          <w:rPr>
            <w:rFonts w:ascii="Cambria Math" w:eastAsia="仿宋_GB2312" w:hAnsi="Cambria Math"/>
            <w:color w:val="000000" w:themeColor="text1"/>
            <w:sz w:val="32"/>
            <w:szCs w:val="32"/>
          </w:rPr>
          <m:t>t</m:t>
        </m:r>
      </m:oMath>
      <w:r>
        <w:rPr>
          <w:rFonts w:ascii="仿宋_GB2312" w:eastAsia="仿宋_GB2312" w:hint="eastAsia"/>
          <w:color w:val="000000" w:themeColor="text1"/>
          <w:sz w:val="32"/>
          <w:szCs w:val="32"/>
        </w:rPr>
        <w:t>期碳排放为经济主体带来的扣除相关获得成本后的预期经济收益。计算碳排放的预期收益时，可以根据企业历史年度的碳排放强度和未来年度的减排计划，估计碳排放的预期产值，也可根据一定比例的分成率，基于企业整体收益计算碳资产的预期收益。</w:t>
      </w:r>
    </w:p>
    <w:p w:rsidR="0028646B" w:rsidRDefault="0068618A">
      <w:pPr>
        <w:pStyle w:val="af0"/>
        <w:autoSpaceDE w:val="0"/>
        <w:autoSpaceDN w:val="0"/>
        <w:adjustRightInd w:val="0"/>
        <w:snapToGrid w:val="0"/>
        <w:spacing w:line="578"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当待评估碳资产为处于开发阶段的减排碳资产时，减排项目应当符合国家核证减排机制允许项目的标准，重点在于估计未来年度经核证的自愿减排量和价格。此时，</w:t>
      </w:r>
      <m:oMath>
        <m:sSub>
          <m:sSubPr>
            <m:ctrlPr>
              <w:rPr>
                <w:rFonts w:ascii="Cambria Math" w:eastAsia="仿宋_GB2312" w:hAnsi="Cambria Math" w:hint="eastAsia"/>
                <w:i/>
                <w:color w:val="000000" w:themeColor="text1"/>
                <w:sz w:val="32"/>
                <w:szCs w:val="32"/>
              </w:rPr>
            </m:ctrlPr>
          </m:sSubPr>
          <m:e>
            <m:r>
              <w:rPr>
                <w:rFonts w:ascii="Cambria Math" w:eastAsia="仿宋_GB2312" w:hAnsi="Cambria Math"/>
                <w:color w:val="000000" w:themeColor="text1"/>
                <w:sz w:val="32"/>
                <w:szCs w:val="32"/>
              </w:rPr>
              <m:t>F</m:t>
            </m:r>
          </m:e>
          <m:sub>
            <m:r>
              <w:rPr>
                <w:rFonts w:ascii="Cambria Math" w:eastAsia="仿宋_GB2312" w:hAnsi="Cambria Math"/>
                <w:color w:val="000000" w:themeColor="text1"/>
                <w:sz w:val="32"/>
                <w:szCs w:val="32"/>
              </w:rPr>
              <m:t>t</m:t>
            </m:r>
          </m:sub>
        </m:sSub>
      </m:oMath>
      <w:r>
        <w:rPr>
          <w:rFonts w:ascii="仿宋_GB2312" w:eastAsia="仿宋_GB2312" w:hint="eastAsia"/>
          <w:color w:val="000000" w:themeColor="text1"/>
          <w:sz w:val="32"/>
          <w:szCs w:val="32"/>
        </w:rPr>
        <w:t>为第t期经核证自愿减排量的估计价格扣除相关成本。</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第二十五条</w:t>
      </w:r>
      <w:r>
        <w:rPr>
          <w:rFonts w:ascii="仿宋_GB2312" w:eastAsia="仿宋_GB2312" w:hint="eastAsia"/>
          <w:color w:val="000000" w:themeColor="text1"/>
          <w:sz w:val="32"/>
          <w:szCs w:val="32"/>
        </w:rPr>
        <w:t xml:space="preserve">  【预期收益】如何恰当衡量碳资产在企业生产经营中的价值贡献程度，确认企业总经济收益中碳资产带来收益分成，是估计碳资产预期收益的关键。</w:t>
      </w:r>
    </w:p>
    <w:p w:rsidR="0028646B" w:rsidRDefault="0068618A" w:rsidP="00783E27">
      <w:pPr>
        <w:autoSpaceDE w:val="0"/>
        <w:autoSpaceDN w:val="0"/>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碳资产的价值贡献程度因地区、行业、企业、生产阶段不同而有所差异。估算碳资产的预期收益时，可以参考企业历史期排放强度，直接估计碳资产收益。难以直接从总收入中分离碳资产收益时，可以通过计算不同生产要素的利润分成率，对企业总收益进行调整，确认碳资产的贡献。</w:t>
      </w:r>
    </w:p>
    <w:p w:rsidR="0028646B" w:rsidRDefault="0068618A" w:rsidP="00783E27">
      <w:pPr>
        <w:autoSpaceDE w:val="0"/>
        <w:autoSpaceDN w:val="0"/>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利润分成率（</w:t>
      </w:r>
      <m:oMath>
        <m:sSub>
          <m:sSubPr>
            <m:ctrlPr>
              <w:rPr>
                <w:rFonts w:ascii="Cambria Math" w:eastAsia="仿宋_GB2312" w:hAnsi="Cambria Math" w:hint="eastAsia"/>
                <w:i/>
                <w:color w:val="000000" w:themeColor="text1"/>
                <w:sz w:val="32"/>
                <w:szCs w:val="32"/>
              </w:rPr>
            </m:ctrlPr>
          </m:sSubPr>
          <m:e>
            <m:r>
              <w:rPr>
                <w:rFonts w:ascii="Cambria Math" w:eastAsia="仿宋_GB2312" w:hAnsi="Cambria Math" w:hint="eastAsia"/>
                <w:color w:val="000000" w:themeColor="text1"/>
                <w:sz w:val="32"/>
                <w:szCs w:val="32"/>
              </w:rPr>
              <m:t>k</m:t>
            </m:r>
          </m:e>
          <m:sub>
            <m:r>
              <w:rPr>
                <w:rFonts w:ascii="Cambria Math" w:eastAsia="仿宋_GB2312" w:hAnsi="Cambria Math" w:hint="eastAsia"/>
                <w:color w:val="000000" w:themeColor="text1"/>
                <w:sz w:val="32"/>
                <w:szCs w:val="32"/>
              </w:rPr>
              <m:t>t</m:t>
            </m:r>
          </m:sub>
        </m:sSub>
      </m:oMath>
      <w:r>
        <w:rPr>
          <w:rFonts w:ascii="仿宋_GB2312" w:eastAsia="仿宋_GB2312" w:hint="eastAsia"/>
          <w:color w:val="000000" w:themeColor="text1"/>
          <w:sz w:val="32"/>
          <w:szCs w:val="32"/>
        </w:rPr>
        <w:t>）可通过碳资产消耗成本在企业生产总成本的占比进行估计。碳资产消耗成本通常包括购买成本、交易成本、申请成本、履约成本等。</w:t>
      </w:r>
    </w:p>
    <w:p w:rsidR="0028646B" w:rsidRDefault="00DC38F8" w:rsidP="00783E27">
      <w:pPr>
        <w:autoSpaceDE w:val="0"/>
        <w:autoSpaceDN w:val="0"/>
        <w:adjustRightInd w:val="0"/>
        <w:snapToGrid w:val="0"/>
        <w:spacing w:line="578" w:lineRule="exact"/>
        <w:ind w:firstLineChars="200" w:firstLine="470"/>
        <w:rPr>
          <w:rFonts w:ascii="仿宋_GB2312" w:eastAsia="仿宋_GB2312"/>
          <w:color w:val="000000" w:themeColor="text1"/>
          <w:sz w:val="24"/>
          <w:szCs w:val="28"/>
        </w:rPr>
      </w:pPr>
      <m:oMathPara>
        <m:oMathParaPr>
          <m:jc m:val="center"/>
        </m:oMathParaPr>
        <m:oMath>
          <m:sSub>
            <m:sSubPr>
              <m:ctrlPr>
                <w:rPr>
                  <w:rFonts w:ascii="Cambria Math" w:eastAsia="仿宋_GB2312" w:hAnsi="Cambria Math" w:hint="eastAsia"/>
                  <w:i/>
                  <w:color w:val="000000" w:themeColor="text1"/>
                  <w:sz w:val="24"/>
                  <w:szCs w:val="28"/>
                </w:rPr>
              </m:ctrlPr>
            </m:sSubPr>
            <m:e>
              <m:r>
                <w:rPr>
                  <w:rFonts w:ascii="Cambria Math" w:eastAsia="仿宋_GB2312" w:hAnsi="Cambria Math" w:hint="eastAsia"/>
                  <w:color w:val="000000" w:themeColor="text1"/>
                  <w:sz w:val="24"/>
                  <w:szCs w:val="28"/>
                </w:rPr>
                <m:t>k</m:t>
              </m:r>
            </m:e>
            <m:sub>
              <m:r>
                <w:rPr>
                  <w:rFonts w:ascii="Cambria Math" w:eastAsia="仿宋_GB2312" w:hAnsi="Cambria Math" w:hint="eastAsia"/>
                  <w:color w:val="000000" w:themeColor="text1"/>
                  <w:sz w:val="24"/>
                  <w:szCs w:val="28"/>
                </w:rPr>
                <m:t>t</m:t>
              </m:r>
            </m:sub>
          </m:sSub>
          <m:r>
            <m:rPr>
              <m:sty m:val="p"/>
            </m:rPr>
            <w:rPr>
              <w:rFonts w:ascii="Cambria Math" w:eastAsia="仿宋_GB2312" w:hAnsi="Cambria Math" w:hint="eastAsia"/>
              <w:color w:val="000000" w:themeColor="text1"/>
              <w:sz w:val="24"/>
              <w:szCs w:val="28"/>
            </w:rPr>
            <m:t>=</m:t>
          </m:r>
          <m:f>
            <m:fPr>
              <m:ctrlPr>
                <w:rPr>
                  <w:rFonts w:ascii="Cambria Math" w:eastAsia="仿宋_GB2312" w:hAnsi="Cambria Math" w:hint="eastAsia"/>
                  <w:iCs/>
                  <w:color w:val="000000" w:themeColor="text1"/>
                  <w:sz w:val="24"/>
                  <w:szCs w:val="28"/>
                </w:rPr>
              </m:ctrlPr>
            </m:fPr>
            <m:num>
              <m:r>
                <m:rPr>
                  <m:sty m:val="p"/>
                </m:rPr>
                <w:rPr>
                  <w:rFonts w:ascii="Cambria Math" w:eastAsia="仿宋_GB2312" w:hAnsi="Cambria Math" w:hint="eastAsia"/>
                  <w:color w:val="000000" w:themeColor="text1"/>
                  <w:sz w:val="24"/>
                  <w:szCs w:val="28"/>
                </w:rPr>
                <m:t>碳资产消耗成本</m:t>
              </m:r>
            </m:num>
            <m:den>
              <m:r>
                <m:rPr>
                  <m:sty m:val="p"/>
                </m:rPr>
                <w:rPr>
                  <w:rFonts w:ascii="Cambria Math" w:eastAsia="仿宋_GB2312" w:hAnsi="Cambria Math" w:hint="eastAsia"/>
                  <w:color w:val="000000" w:themeColor="text1"/>
                  <w:sz w:val="24"/>
                  <w:szCs w:val="28"/>
                </w:rPr>
                <m:t>企业生产总成本</m:t>
              </m:r>
            </m:den>
          </m:f>
        </m:oMath>
      </m:oMathPara>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第二十六条</w:t>
      </w:r>
      <w:r>
        <w:rPr>
          <w:rFonts w:ascii="仿宋_GB2312" w:eastAsia="仿宋_GB2312" w:hint="eastAsia"/>
          <w:color w:val="000000" w:themeColor="text1"/>
          <w:sz w:val="32"/>
          <w:szCs w:val="32"/>
        </w:rPr>
        <w:t xml:space="preserve">  【收益期限】使用收益法执行碳资产评估业务时，需要根据碳资产的清缴政策、排放规划以及产品的生产周期等因素确定收益期限。</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第二十七条</w:t>
      </w:r>
      <w:r>
        <w:rPr>
          <w:rFonts w:ascii="仿宋_GB2312" w:eastAsia="仿宋_GB2312" w:hint="eastAsia"/>
          <w:color w:val="000000" w:themeColor="text1"/>
          <w:sz w:val="32"/>
          <w:szCs w:val="32"/>
        </w:rPr>
        <w:t xml:space="preserve">  【折现率】使用收益法执行碳资产评估业务时，应当合理确定折现率。折现率可以通过分析评估基准日的利率、投资回报率、碳资产相关政策等因素确定。碳资产折现率可以采</w:t>
      </w:r>
      <w:r>
        <w:rPr>
          <w:rFonts w:ascii="仿宋_GB2312" w:eastAsia="仿宋_GB2312" w:hint="eastAsia"/>
          <w:color w:val="000000" w:themeColor="text1"/>
          <w:sz w:val="32"/>
          <w:szCs w:val="32"/>
        </w:rPr>
        <w:lastRenderedPageBreak/>
        <w:t>用无风险报酬率加风险报酬率的方式确定。碳资产折现率应当与预期收益的口径保持一致。</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第二十八条</w:t>
      </w:r>
      <w:r>
        <w:rPr>
          <w:rFonts w:ascii="仿宋_GB2312" w:eastAsia="仿宋_GB2312" w:hint="eastAsia"/>
          <w:color w:val="000000" w:themeColor="text1"/>
          <w:sz w:val="32"/>
          <w:szCs w:val="32"/>
        </w:rPr>
        <w:t xml:space="preserve">  【影子价格法】生产要素的影子价格是指，在其他投入要素保持不变条件下，减少一单位生产要素投入所导致的企业生产总值的减少值。碳资产的影子价格，指每减少一单位碳排放所造成的额外经济成本或利润损失，本质是二氧化碳等温室气体的边际减排成本。</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第二十九条</w:t>
      </w:r>
      <w:r>
        <w:rPr>
          <w:rFonts w:ascii="仿宋_GB2312" w:eastAsia="仿宋_GB2312" w:hint="eastAsia"/>
          <w:color w:val="000000" w:themeColor="text1"/>
          <w:sz w:val="32"/>
          <w:szCs w:val="32"/>
        </w:rPr>
        <w:t xml:space="preserve">  【适用性分析】使用影子价格法的前提是，能够对企业或地区的生产函数进行合理估计。基于企业或地区的生产函数，在利润最大化约束下，依据生产边际法则计算碳排放这一生产要素的边际成本，即为碳资产价值。</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第三十条</w:t>
      </w:r>
      <w:r>
        <w:rPr>
          <w:rFonts w:ascii="仿宋_GB2312" w:eastAsia="仿宋_GB2312" w:hint="eastAsia"/>
          <w:color w:val="000000" w:themeColor="text1"/>
          <w:sz w:val="32"/>
          <w:szCs w:val="32"/>
        </w:rPr>
        <w:t xml:space="preserve">  使用影子价格法评估碳资产的价值，需要具有相关主体技术水平、资本投入、劳动投入等历年数据支持，合理构造企业生产函数。目前，影子价格法尚处于理论研究与探索阶段，运用较多的是柯布-道格拉斯生产函数。</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第三十一条</w:t>
      </w:r>
      <w:r>
        <w:rPr>
          <w:rFonts w:ascii="仿宋_GB2312" w:eastAsia="仿宋_GB2312" w:hint="eastAsia"/>
          <w:color w:val="000000" w:themeColor="text1"/>
          <w:sz w:val="32"/>
          <w:szCs w:val="32"/>
        </w:rPr>
        <w:t xml:space="preserve">  【期权定价法】评估期权的价值可以选择和应用多种期权定价方法或者模型。目前，实践中应用较广泛的模型主要有布莱克—舒尔斯模型和二项树模型等。</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第三十二条</w:t>
      </w:r>
      <w:r>
        <w:rPr>
          <w:rFonts w:ascii="仿宋_GB2312" w:eastAsia="仿宋_GB2312" w:hint="eastAsia"/>
          <w:color w:val="000000" w:themeColor="text1"/>
          <w:sz w:val="32"/>
          <w:szCs w:val="32"/>
        </w:rPr>
        <w:t xml:space="preserve">  【适用性分析】对于由配额碳资产和减排碳资产延伸出来的碳衍生工具，例如碳期货、碳期权等，由于具有金融衍生工具的特征，可根据期权定价模型进行评估。值得注意的是，目前碳资产刚刚处于起步阶段，针对碳资产的衍生产品较少，</w:t>
      </w:r>
      <w:r>
        <w:rPr>
          <w:rFonts w:ascii="仿宋_GB2312" w:eastAsia="仿宋_GB2312" w:hint="eastAsia"/>
          <w:color w:val="000000" w:themeColor="text1"/>
          <w:sz w:val="32"/>
          <w:szCs w:val="32"/>
        </w:rPr>
        <w:lastRenderedPageBreak/>
        <w:t>相应的数据积累还不够充分，碳资产的期权定价方法还处于理论探索与研究阶段。</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第三十三条</w:t>
      </w:r>
      <w:r>
        <w:rPr>
          <w:rFonts w:ascii="仿宋_GB2312" w:eastAsia="仿宋_GB2312" w:hint="eastAsia"/>
          <w:color w:val="000000" w:themeColor="text1"/>
          <w:sz w:val="32"/>
          <w:szCs w:val="32"/>
        </w:rPr>
        <w:t xml:space="preserve">  【企业价值评估】企业价值评估涉及碳资产价值时，应充分考虑碳资产在企业生产经营中体现的投资价值与协同价值，包括企业其他资产对碳资产价值的影响、表内和表外碳资产、碳资产对企业未来经营发展的影响等，建立合适的评估模型估算企业价值与碳资产价值。</w:t>
      </w:r>
    </w:p>
    <w:p w:rsidR="0028646B" w:rsidRDefault="0068618A">
      <w:pPr>
        <w:pStyle w:val="af0"/>
        <w:numPr>
          <w:ilvl w:val="255"/>
          <w:numId w:val="0"/>
        </w:numPr>
        <w:autoSpaceDE w:val="0"/>
        <w:autoSpaceDN w:val="0"/>
        <w:adjustRightInd w:val="0"/>
        <w:snapToGrid w:val="0"/>
        <w:spacing w:beforeLines="100" w:before="579" w:afterLines="100" w:after="579" w:line="578" w:lineRule="exact"/>
        <w:jc w:val="center"/>
        <w:outlineLvl w:val="1"/>
        <w:rPr>
          <w:rFonts w:eastAsia="黑体"/>
          <w:color w:val="000000" w:themeColor="text1"/>
          <w:spacing w:val="-2"/>
          <w:sz w:val="32"/>
          <w:szCs w:val="32"/>
        </w:rPr>
      </w:pPr>
      <w:r>
        <w:rPr>
          <w:rFonts w:eastAsia="黑体" w:hint="eastAsia"/>
          <w:color w:val="000000" w:themeColor="text1"/>
          <w:spacing w:val="-2"/>
          <w:sz w:val="32"/>
          <w:szCs w:val="32"/>
        </w:rPr>
        <w:t>第五章</w:t>
      </w:r>
      <w:r>
        <w:rPr>
          <w:rFonts w:eastAsia="黑体" w:hint="eastAsia"/>
          <w:color w:val="000000" w:themeColor="text1"/>
          <w:spacing w:val="-2"/>
          <w:sz w:val="32"/>
          <w:szCs w:val="32"/>
        </w:rPr>
        <w:t xml:space="preserve"> </w:t>
      </w:r>
      <w:r>
        <w:rPr>
          <w:rFonts w:eastAsia="黑体"/>
          <w:color w:val="000000" w:themeColor="text1"/>
          <w:spacing w:val="-2"/>
          <w:sz w:val="32"/>
          <w:szCs w:val="32"/>
        </w:rPr>
        <w:t>披露要求</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第三十四条</w:t>
      </w:r>
      <w:r>
        <w:rPr>
          <w:rFonts w:ascii="仿宋_GB2312" w:eastAsia="仿宋_GB2312" w:hint="eastAsia"/>
          <w:color w:val="000000" w:themeColor="text1"/>
          <w:sz w:val="32"/>
          <w:szCs w:val="32"/>
        </w:rPr>
        <w:t xml:space="preserve">  【基本要求】执行碳资产评估业务，应当在资产评估报告中披露必要信息，使资产评估报告使用人能够正确理解评估结论。</w:t>
      </w:r>
    </w:p>
    <w:p w:rsidR="0028646B" w:rsidRDefault="0068618A" w:rsidP="00783E27">
      <w:pPr>
        <w:pStyle w:val="af0"/>
        <w:numPr>
          <w:ilvl w:val="255"/>
          <w:numId w:val="0"/>
        </w:numPr>
        <w:autoSpaceDE w:val="0"/>
        <w:autoSpaceDN w:val="0"/>
        <w:adjustRightInd w:val="0"/>
        <w:snapToGrid w:val="0"/>
        <w:spacing w:line="578" w:lineRule="exact"/>
        <w:ind w:firstLineChars="200" w:firstLine="633"/>
        <w:rPr>
          <w:rFonts w:ascii="仿宋_GB2312" w:eastAsia="仿宋_GB2312"/>
          <w:color w:val="000000" w:themeColor="text1"/>
          <w:sz w:val="32"/>
          <w:szCs w:val="32"/>
        </w:rPr>
      </w:pPr>
      <w:r>
        <w:rPr>
          <w:rFonts w:ascii="仿宋_GB2312" w:eastAsia="仿宋_GB2312" w:hint="eastAsia"/>
          <w:b/>
          <w:bCs/>
          <w:color w:val="000000" w:themeColor="text1"/>
          <w:sz w:val="32"/>
          <w:szCs w:val="32"/>
        </w:rPr>
        <w:t>第三十五条</w:t>
      </w:r>
      <w:r>
        <w:rPr>
          <w:rFonts w:ascii="仿宋_GB2312" w:eastAsia="仿宋_GB2312" w:hint="eastAsia"/>
          <w:color w:val="000000" w:themeColor="text1"/>
          <w:sz w:val="32"/>
          <w:szCs w:val="32"/>
        </w:rPr>
        <w:t xml:space="preserve">  【披露内容】编制碳资产评估报告通常包括下列内容：</w:t>
      </w:r>
    </w:p>
    <w:p w:rsidR="0028646B" w:rsidRDefault="0068618A" w:rsidP="00783E27">
      <w:pPr>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（一）碳资产的详细情况，通常包括资产名称、类别、规模、交易场所、交易时间等；</w:t>
      </w:r>
    </w:p>
    <w:p w:rsidR="0028646B" w:rsidRDefault="0068618A" w:rsidP="00783E27">
      <w:pPr>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（二）评估委托方信息，通常包括企业所属行业特征、历史碳排放情况、是否纳入碳排放控排范围、绿色技术水平等；</w:t>
      </w:r>
    </w:p>
    <w:p w:rsidR="0028646B" w:rsidRDefault="0068618A" w:rsidP="00783E27">
      <w:pPr>
        <w:widowControl/>
        <w:adjustRightInd w:val="0"/>
        <w:snapToGrid w:val="0"/>
        <w:spacing w:line="578" w:lineRule="exact"/>
        <w:ind w:firstLineChars="200" w:firstLine="630"/>
      </w:pPr>
      <w:r>
        <w:rPr>
          <w:rFonts w:ascii="仿宋_GB2312" w:eastAsia="仿宋_GB2312" w:hint="eastAsia"/>
          <w:color w:val="000000" w:themeColor="text1"/>
          <w:sz w:val="32"/>
          <w:szCs w:val="32"/>
        </w:rPr>
        <w:t>（三）碳资产核查相关资料，包括企业的碳资产核查报告、财务资料、企业碳资产管理规划等；</w:t>
      </w:r>
    </w:p>
    <w:p w:rsidR="0028646B" w:rsidRDefault="0068618A" w:rsidP="00783E27">
      <w:pPr>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（四）对影响碳资产价值的气候环境因素、政策因素、经济</w:t>
      </w:r>
      <w:r>
        <w:rPr>
          <w:rFonts w:ascii="仿宋_GB2312" w:eastAsia="仿宋_GB2312" w:hint="eastAsia"/>
          <w:color w:val="000000" w:themeColor="text1"/>
          <w:sz w:val="32"/>
          <w:szCs w:val="32"/>
        </w:rPr>
        <w:lastRenderedPageBreak/>
        <w:t>因素、能源价格因素、企业因素、周期性因素等的分析过程；</w:t>
      </w:r>
    </w:p>
    <w:p w:rsidR="0028646B" w:rsidRDefault="0068618A" w:rsidP="00783E27">
      <w:pPr>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（五）评估目的及选择的价值类型；</w:t>
      </w:r>
    </w:p>
    <w:p w:rsidR="0028646B" w:rsidRDefault="0068618A" w:rsidP="00783E27">
      <w:pPr>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（六）使用的评估假设和前提条件；</w:t>
      </w:r>
    </w:p>
    <w:p w:rsidR="0028646B" w:rsidRDefault="0068618A" w:rsidP="00783E27">
      <w:pPr>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（七）有关评估方法的主要内容，包括评估方法的选取及理由，评估方法中的运算和逻辑推理公式，各重要参数的来源、分析、比较与测算过程，对测算结果进行分析并形成评估结论的过程；</w:t>
      </w:r>
    </w:p>
    <w:p w:rsidR="0028646B" w:rsidRDefault="0068618A" w:rsidP="00783E27">
      <w:pPr>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（八）其他必要信息。</w:t>
      </w: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28646B">
      <w:pPr>
        <w:pStyle w:val="af0"/>
        <w:snapToGrid w:val="0"/>
        <w:spacing w:line="578" w:lineRule="exact"/>
        <w:ind w:firstLineChars="0" w:firstLine="640"/>
        <w:rPr>
          <w:rFonts w:ascii="仿宋_GB2312" w:eastAsia="仿宋_GB2312"/>
          <w:color w:val="000000" w:themeColor="text1"/>
          <w:sz w:val="32"/>
          <w:szCs w:val="32"/>
        </w:rPr>
      </w:pPr>
    </w:p>
    <w:p w:rsidR="0028646B" w:rsidRDefault="0068618A">
      <w:pPr>
        <w:widowControl/>
        <w:shd w:val="clear" w:color="auto" w:fill="FFFFFF"/>
        <w:adjustRightInd w:val="0"/>
        <w:snapToGrid w:val="0"/>
        <w:spacing w:line="700" w:lineRule="exact"/>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lastRenderedPageBreak/>
        <w:t>《资产评估专家指引第XX号——碳资产</w:t>
      </w:r>
    </w:p>
    <w:p w:rsidR="0028646B" w:rsidRDefault="0068618A">
      <w:pPr>
        <w:widowControl/>
        <w:shd w:val="clear" w:color="auto" w:fill="FFFFFF"/>
        <w:adjustRightInd w:val="0"/>
        <w:snapToGrid w:val="0"/>
        <w:spacing w:line="700" w:lineRule="exact"/>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评估（征求意见稿）》</w:t>
      </w:r>
    </w:p>
    <w:p w:rsidR="0028646B" w:rsidRDefault="0068618A">
      <w:pPr>
        <w:widowControl/>
        <w:shd w:val="clear" w:color="auto" w:fill="FFFFFF"/>
        <w:adjustRightInd w:val="0"/>
        <w:snapToGrid w:val="0"/>
        <w:spacing w:line="700" w:lineRule="exact"/>
        <w:jc w:val="center"/>
        <w:outlineLvl w:val="1"/>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起草说明</w:t>
      </w:r>
    </w:p>
    <w:p w:rsidR="0028646B" w:rsidRDefault="0028646B" w:rsidP="00783E27">
      <w:pPr>
        <w:widowControl/>
        <w:shd w:val="clear" w:color="auto" w:fill="FFFFFF"/>
        <w:adjustRightInd w:val="0"/>
        <w:snapToGrid w:val="0"/>
        <w:spacing w:line="700" w:lineRule="exact"/>
        <w:ind w:firstLineChars="200" w:firstLine="713"/>
        <w:rPr>
          <w:rFonts w:ascii="仿宋" w:eastAsia="仿宋" w:hAnsi="仿宋"/>
          <w:b/>
          <w:sz w:val="36"/>
          <w:szCs w:val="36"/>
        </w:rPr>
      </w:pPr>
    </w:p>
    <w:p w:rsidR="0028646B" w:rsidRDefault="0068618A" w:rsidP="00783E27">
      <w:pPr>
        <w:widowControl/>
        <w:adjustRightInd w:val="0"/>
        <w:snapToGrid w:val="0"/>
        <w:spacing w:line="578" w:lineRule="exact"/>
        <w:ind w:firstLineChars="200"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为规范资产评估机构执行碳资产评估咨询业务，中国资产评估协会（以下简称中评协）研究起草了《资产评估专家指引第XX号——碳资产评估（征求意见稿）》（以下简称专家指引）。现就有关事项说明如下：</w:t>
      </w:r>
    </w:p>
    <w:p w:rsidR="0028646B" w:rsidRDefault="0068618A" w:rsidP="00783E27">
      <w:pPr>
        <w:spacing w:line="578" w:lineRule="exact"/>
        <w:ind w:firstLineChars="200" w:firstLine="630"/>
        <w:rPr>
          <w:rFonts w:ascii="黑体" w:eastAsia="黑体" w:hAnsi="黑体" w:cs="黑体"/>
          <w:sz w:val="32"/>
          <w:szCs w:val="32"/>
        </w:rPr>
      </w:pPr>
      <w:r>
        <w:rPr>
          <w:rFonts w:ascii="黑体" w:eastAsia="黑体" w:hAnsi="黑体" w:cs="黑体" w:hint="eastAsia"/>
          <w:sz w:val="32"/>
          <w:szCs w:val="32"/>
        </w:rPr>
        <w:t>一、起草背景</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气候变化与可持续发展问题已经成为目前全球社会经济发展的重要议题，从《京都议定书》到《巴黎协定》，国际社会逐渐形成了以公平合理、合作共赢为基础的全球气候变化治理体系。2020年9月，习近平总书记在第75届联合国大会提出“碳达峰”“碳中和”目标，是中国主动承担应对全球气候变化责任的大国担当、构建人类命运共同体的庄严承诺。作为实现“双碳”目标的重要抓手，我国全国碳排放权交易市场于2021年7月正式开启交易，初步纳入发电行业重点排放单位两千余家、覆盖约45亿吨二氧化碳排放量，成为全球规模最大的碳市场。</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随着碳资产交易规模不断扩大，碳资产配置、管理、投资、融资、基金等业务实践迅速增加，如何实现碳资产价值科学评估的重要意义逐渐凸显。碳资产作为一类低碳经济转型中以数字化</w:t>
      </w:r>
      <w:r>
        <w:rPr>
          <w:rFonts w:ascii="仿宋_GB2312" w:eastAsia="仿宋_GB2312" w:hAnsi="仿宋" w:hint="eastAsia"/>
          <w:sz w:val="32"/>
          <w:szCs w:val="32"/>
        </w:rPr>
        <w:lastRenderedPageBreak/>
        <w:t>为载体的环境资源资产，具有其特殊性，在评估对象、评估方法等方面反映出新的评估技术要求。在此背景下，为更好地指导资产评估执业，满足经济低碳转型对碳资产评估专业服务的需要，建立完善我国碳资产评估体系，推动碳交易市场良性发展，中评协研究起草了本专家指引。</w:t>
      </w:r>
    </w:p>
    <w:p w:rsidR="0028646B" w:rsidRDefault="0068618A" w:rsidP="00783E27">
      <w:pPr>
        <w:spacing w:line="578" w:lineRule="exact"/>
        <w:ind w:firstLineChars="200" w:firstLine="63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二、起草原则</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在专家指引起草过程中，主要遵循了以下原则：</w:t>
      </w:r>
    </w:p>
    <w:p w:rsidR="0028646B" w:rsidRDefault="0068618A" w:rsidP="00783E27">
      <w:pPr>
        <w:adjustRightInd w:val="0"/>
        <w:snapToGrid w:val="0"/>
        <w:spacing w:line="578" w:lineRule="exact"/>
        <w:ind w:firstLineChars="200" w:firstLine="630"/>
        <w:rPr>
          <w:rFonts w:ascii="楷体_GB2312" w:eastAsia="楷体_GB2312" w:hAnsi="仿宋"/>
          <w:sz w:val="32"/>
          <w:szCs w:val="32"/>
        </w:rPr>
      </w:pPr>
      <w:r>
        <w:rPr>
          <w:rFonts w:ascii="楷体_GB2312" w:eastAsia="楷体_GB2312" w:hAnsi="仿宋" w:hint="eastAsia"/>
          <w:sz w:val="32"/>
          <w:szCs w:val="32"/>
        </w:rPr>
        <w:t>（一）可操作性。</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我国碳交易体系处于起步发展阶段，相关机制尚不成熟，交易主体较为单一，这也导致了目前碳资产评估在理论和实务上仍存不足，而这些问题将在未来碳交易体系的不断完善过程中发生变化。因此，本专家指引定位于提供具体操作意见，致力于解决目前实务中存在的具体问题，具备较强的可操作性。</w:t>
      </w:r>
    </w:p>
    <w:p w:rsidR="0028646B" w:rsidRDefault="0068618A" w:rsidP="00783E27">
      <w:pPr>
        <w:adjustRightInd w:val="0"/>
        <w:snapToGrid w:val="0"/>
        <w:spacing w:line="578" w:lineRule="exact"/>
        <w:ind w:firstLineChars="200" w:firstLine="630"/>
        <w:rPr>
          <w:rFonts w:ascii="楷体_GB2312" w:eastAsia="楷体_GB2312" w:hAnsi="仿宋"/>
          <w:sz w:val="32"/>
          <w:szCs w:val="32"/>
        </w:rPr>
      </w:pPr>
      <w:r>
        <w:rPr>
          <w:rFonts w:ascii="楷体_GB2312" w:eastAsia="楷体_GB2312" w:hAnsi="仿宋" w:hint="eastAsia"/>
          <w:sz w:val="32"/>
          <w:szCs w:val="32"/>
        </w:rPr>
        <w:t>（二）兼顾理论与实践。</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本专家指引在起草过程中，注重发挥评估理论指导作用同时，充分尊重和认可实践经验。在完成大量国内外理论文献研究基础上，还吸收了来自碳资产交易所、银行业金融机构、电力企业、碳资产管理公司、资产评估公司的多位业内专家的宝贵实践经验，对现有碳资产评估实践进行探索总结和理论提升，运用评估理论更好指导和规范评估实践。</w:t>
      </w:r>
    </w:p>
    <w:p w:rsidR="0028646B" w:rsidRDefault="0068618A" w:rsidP="00783E27">
      <w:pPr>
        <w:adjustRightInd w:val="0"/>
        <w:snapToGrid w:val="0"/>
        <w:spacing w:line="578" w:lineRule="exact"/>
        <w:ind w:firstLineChars="200" w:firstLine="630"/>
        <w:rPr>
          <w:rFonts w:ascii="楷体_GB2312" w:eastAsia="楷体_GB2312" w:hAnsi="仿宋"/>
          <w:sz w:val="32"/>
          <w:szCs w:val="32"/>
        </w:rPr>
      </w:pPr>
      <w:r>
        <w:rPr>
          <w:rFonts w:ascii="楷体_GB2312" w:eastAsia="楷体_GB2312" w:hAnsi="仿宋" w:hint="eastAsia"/>
          <w:sz w:val="32"/>
          <w:szCs w:val="32"/>
        </w:rPr>
        <w:t>（三）专业性。</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与其它资产评估业务相比较，由于碳资产具备特殊属性，在</w:t>
      </w:r>
      <w:r>
        <w:rPr>
          <w:rFonts w:ascii="仿宋_GB2312" w:eastAsia="仿宋_GB2312" w:hAnsi="仿宋" w:hint="eastAsia"/>
          <w:sz w:val="32"/>
          <w:szCs w:val="32"/>
        </w:rPr>
        <w:lastRenderedPageBreak/>
        <w:t>评估过程中，评估人员须关注碳资产的属性差异，明确碳资产的价值类型，进而确定评估目的，合理选择评估方法。因此，本专家指引特别分析了各评估方法在不同评估目的、碳资产价值类型下的适用性，对碳资产评估基本方法与具体操作问题及相关参数估算等实践给出合理建议，具备专业性。</w:t>
      </w:r>
    </w:p>
    <w:p w:rsidR="0028646B" w:rsidRDefault="0068618A" w:rsidP="00783E27">
      <w:pPr>
        <w:adjustRightInd w:val="0"/>
        <w:snapToGrid w:val="0"/>
        <w:spacing w:line="578" w:lineRule="exact"/>
        <w:ind w:firstLineChars="200" w:firstLine="630"/>
        <w:rPr>
          <w:rFonts w:ascii="楷体_GB2312" w:eastAsia="楷体_GB2312" w:hAnsi="仿宋"/>
          <w:sz w:val="32"/>
          <w:szCs w:val="32"/>
        </w:rPr>
      </w:pPr>
      <w:r>
        <w:rPr>
          <w:rFonts w:ascii="楷体_GB2312" w:eastAsia="楷体_GB2312" w:hAnsi="仿宋" w:hint="eastAsia"/>
          <w:sz w:val="32"/>
          <w:szCs w:val="32"/>
        </w:rPr>
        <w:t>（四）适度超前性。</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相较于我国，欧美国家碳交易体系成立较早，交易机制较为成熟，相关业务经验较为丰富。因此，本专家指引在起草过程中注意借鉴国际经验，在考虑我国碳资产评估实践现状基础上，选择性地吸收国际经验，在保证稳健性同时，兼顾适度超前性。</w:t>
      </w:r>
    </w:p>
    <w:p w:rsidR="0028646B" w:rsidRDefault="0068618A" w:rsidP="00783E27">
      <w:pPr>
        <w:spacing w:line="578" w:lineRule="exact"/>
        <w:ind w:firstLineChars="200" w:firstLine="630"/>
        <w:rPr>
          <w:rFonts w:ascii="黑体" w:eastAsia="黑体" w:hAnsi="黑体" w:cs="黑体"/>
          <w:sz w:val="32"/>
          <w:szCs w:val="32"/>
        </w:rPr>
      </w:pPr>
      <w:r>
        <w:rPr>
          <w:rFonts w:ascii="黑体" w:eastAsia="黑体" w:hAnsi="黑体" w:cs="黑体" w:hint="eastAsia"/>
          <w:sz w:val="32"/>
          <w:szCs w:val="32"/>
        </w:rPr>
        <w:t>三、起草过程</w:t>
      </w:r>
    </w:p>
    <w:p w:rsidR="0028646B" w:rsidRDefault="0068618A" w:rsidP="00783E27">
      <w:pPr>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经前期准备，2</w:t>
      </w:r>
      <w:r>
        <w:rPr>
          <w:rFonts w:ascii="仿宋_GB2312" w:eastAsia="仿宋_GB2312" w:hAnsi="仿宋"/>
          <w:sz w:val="32"/>
          <w:szCs w:val="32"/>
        </w:rPr>
        <w:t>021</w:t>
      </w:r>
      <w:r>
        <w:rPr>
          <w:rFonts w:ascii="仿宋_GB2312" w:eastAsia="仿宋_GB2312" w:hAnsi="仿宋" w:hint="eastAsia"/>
          <w:sz w:val="32"/>
          <w:szCs w:val="32"/>
        </w:rPr>
        <w:t>年7月，中评协启动《碳交易体系中碳资产评估和定价研究》重大课题研究并组建了项目组。项目组在收集翻译国内外碳资产评估方面大量理论和实践资料基础上，重点对碳资产概念界定与分类、评估理论与方法、定价机制等问题进行了深入研究。依托了课题研究成果，2021年10月，项目组起草专家指引，并向碳资产交易所、碳资产管理公司、控排企业、资产评估机构以及金融机构等广泛征求意见，根据反馈意见展开逐条研究与修改。2021年11月以来，课题组三次召开专家研讨会，组织碳资产界和评估界专家进行讨论和修改，形成建议稿。2</w:t>
      </w:r>
      <w:r>
        <w:rPr>
          <w:rFonts w:ascii="仿宋_GB2312" w:eastAsia="仿宋_GB2312" w:hAnsi="仿宋"/>
          <w:sz w:val="32"/>
          <w:szCs w:val="32"/>
        </w:rPr>
        <w:t>022</w:t>
      </w:r>
      <w:r>
        <w:rPr>
          <w:rFonts w:ascii="仿宋_GB2312" w:eastAsia="仿宋_GB2312" w:hAnsi="仿宋" w:hint="eastAsia"/>
          <w:sz w:val="32"/>
          <w:szCs w:val="32"/>
        </w:rPr>
        <w:t>年5月，</w:t>
      </w:r>
      <w:r>
        <w:rPr>
          <w:rFonts w:ascii="仿宋_GB2312" w:eastAsia="仿宋_GB2312" w:hAnsi="宋体" w:cs="宋体" w:hint="eastAsia"/>
          <w:kern w:val="0"/>
          <w:sz w:val="32"/>
          <w:szCs w:val="32"/>
        </w:rPr>
        <w:t>中评协将建议稿发</w:t>
      </w:r>
      <w:r>
        <w:rPr>
          <w:rFonts w:ascii="仿宋_GB2312" w:eastAsia="仿宋_GB2312" w:hAnsi="仿宋" w:hint="eastAsia"/>
          <w:sz w:val="32"/>
          <w:szCs w:val="32"/>
        </w:rPr>
        <w:t>部分专家提出修改意见，项目组根据专家意见对建议稿进行修改完善，形成征求意见稿。</w:t>
      </w:r>
    </w:p>
    <w:p w:rsidR="0028646B" w:rsidRDefault="0068618A" w:rsidP="00783E27">
      <w:pPr>
        <w:spacing w:line="578" w:lineRule="exact"/>
        <w:ind w:firstLineChars="200" w:firstLine="630"/>
        <w:rPr>
          <w:rFonts w:ascii="黑体" w:eastAsia="黑体" w:hAnsi="黑体" w:cs="黑体"/>
          <w:sz w:val="32"/>
          <w:szCs w:val="32"/>
        </w:rPr>
      </w:pPr>
      <w:r>
        <w:rPr>
          <w:rFonts w:ascii="黑体" w:eastAsia="黑体" w:hAnsi="黑体" w:cs="黑体" w:hint="eastAsia"/>
          <w:sz w:val="32"/>
          <w:szCs w:val="32"/>
        </w:rPr>
        <w:lastRenderedPageBreak/>
        <w:t>四、主要内容</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本专家指引分为五章，分别为引言、碳资产分类、特征与价值来源、评估基本事项、评估方法及披露要求，共计3</w:t>
      </w:r>
      <w:r>
        <w:rPr>
          <w:rFonts w:ascii="仿宋_GB2312" w:eastAsia="仿宋_GB2312" w:hAnsi="仿宋"/>
          <w:sz w:val="32"/>
          <w:szCs w:val="32"/>
        </w:rPr>
        <w:t>5</w:t>
      </w:r>
      <w:r>
        <w:rPr>
          <w:rFonts w:ascii="仿宋_GB2312" w:eastAsia="仿宋_GB2312" w:hAnsi="仿宋" w:hint="eastAsia"/>
          <w:sz w:val="32"/>
          <w:szCs w:val="32"/>
        </w:rPr>
        <w:t>条。</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第一章为引言，明确了本专家指引的制定依据、碳资产定义、碳资产评估定义等概念。</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第二章为碳资产分类、特征与价值来源，对碳资产根据其不同类型进行了分类，并对碳资产的特征、价值来源与价值影响因素进行了阐述。</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第三章为评估基本事项，规定了碳资产评估中可能涉及基本事项，包括评估对象和范围、评估目的、价值类型与利用专家工作等内容。</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第四章为评估方法，明确了碳资产评估基本方法及其他创新方法，包括市场法、成本法、收益法三种基本方法，以及影子价格法、期权定价法等创新方法，阐明了碳资产评估业务中各评估方法的适用性、评定估算的重点关注事项等。</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第五章为披露要求，明确了碳资产评估报告的披露内容要求，包括对碳资产的详细情况、评估委托方信息、碳资产核查相关资料、碳资产价值的影响因素等事项的披露指引意见。</w:t>
      </w:r>
    </w:p>
    <w:p w:rsidR="0028646B" w:rsidRDefault="0068618A" w:rsidP="00783E27">
      <w:pPr>
        <w:spacing w:line="578" w:lineRule="exact"/>
        <w:ind w:firstLineChars="200" w:firstLine="630"/>
        <w:rPr>
          <w:rFonts w:ascii="黑体" w:eastAsia="黑体" w:hAnsi="黑体" w:cs="黑体"/>
          <w:sz w:val="32"/>
          <w:szCs w:val="32"/>
        </w:rPr>
      </w:pPr>
      <w:r>
        <w:rPr>
          <w:rFonts w:ascii="黑体" w:eastAsia="黑体" w:hAnsi="黑体" w:cs="黑体" w:hint="eastAsia"/>
          <w:sz w:val="32"/>
          <w:szCs w:val="32"/>
        </w:rPr>
        <w:t>五、重要事项说明</w:t>
      </w:r>
    </w:p>
    <w:p w:rsidR="0028646B" w:rsidRDefault="0068618A" w:rsidP="00783E27">
      <w:pPr>
        <w:adjustRightInd w:val="0"/>
        <w:snapToGrid w:val="0"/>
        <w:spacing w:line="578" w:lineRule="exact"/>
        <w:ind w:firstLineChars="200" w:firstLine="630"/>
        <w:rPr>
          <w:rFonts w:ascii="楷体_GB2312" w:eastAsia="楷体_GB2312" w:hAnsi="仿宋"/>
          <w:sz w:val="32"/>
          <w:szCs w:val="32"/>
        </w:rPr>
      </w:pPr>
      <w:r>
        <w:rPr>
          <w:rFonts w:ascii="楷体_GB2312" w:eastAsia="楷体_GB2312" w:hAnsi="仿宋" w:hint="eastAsia"/>
          <w:sz w:val="32"/>
          <w:szCs w:val="32"/>
        </w:rPr>
        <w:t>（一）碳资产定义与分类。</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作为一项特殊资产，碳资产兼具存货、无形资产和金融资产特性，理论界对碳资产的界定尚未形成统一意见。本专家指引从</w:t>
      </w:r>
      <w:r>
        <w:rPr>
          <w:rFonts w:ascii="仿宋_GB2312" w:eastAsia="仿宋_GB2312" w:hAnsi="仿宋" w:hint="eastAsia"/>
          <w:sz w:val="32"/>
          <w:szCs w:val="32"/>
        </w:rPr>
        <w:lastRenderedPageBreak/>
        <w:t>碳资产交易本身出发，结合资产评估行业特点，给出了碳资产的定义，对评估实践具有较强的指导意义。</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参照碳市场交易产品类型，结合我国碳资产市场处于建设起步阶段的特点，为明确评估对象边界，本专家指引对碳资产进行了分类。我国碳金融市场尚处于萌发阶段，本着适度超前的原则，本专家指引将碳金融资产单独分类，以期随着市场的发展与碳资产评估业务的扩大不断完善。</w:t>
      </w:r>
    </w:p>
    <w:p w:rsidR="0028646B" w:rsidRDefault="0068618A" w:rsidP="00783E27">
      <w:pPr>
        <w:adjustRightInd w:val="0"/>
        <w:snapToGrid w:val="0"/>
        <w:spacing w:line="578" w:lineRule="exact"/>
        <w:ind w:firstLineChars="200" w:firstLine="630"/>
        <w:rPr>
          <w:rFonts w:ascii="楷体_GB2312" w:eastAsia="楷体_GB2312" w:hAnsi="仿宋"/>
          <w:sz w:val="32"/>
          <w:szCs w:val="32"/>
        </w:rPr>
      </w:pPr>
      <w:r>
        <w:rPr>
          <w:rFonts w:ascii="楷体_GB2312" w:eastAsia="楷体_GB2312" w:hAnsi="仿宋" w:hint="eastAsia"/>
          <w:sz w:val="32"/>
          <w:szCs w:val="32"/>
        </w:rPr>
        <w:t>（二）碳资产的价值来源问题。</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碳资产的稀缺性来源于政策调控，逐渐成为企业生产活动的一项必要生产要素，在社会生产中发挥着愈加重要的作用。碳资产价值既反映在市场交易中，也反映在企业的生产经营中。为体现碳资产的价值本质，突出碳资产的价值驱动因素，本专家指引专辟章节分析了碳资产的特征、价值来源与价值影响因素。</w:t>
      </w:r>
    </w:p>
    <w:p w:rsidR="0028646B" w:rsidRDefault="0068618A" w:rsidP="00783E27">
      <w:pPr>
        <w:adjustRightInd w:val="0"/>
        <w:snapToGrid w:val="0"/>
        <w:spacing w:line="578" w:lineRule="exact"/>
        <w:ind w:firstLineChars="200" w:firstLine="630"/>
        <w:rPr>
          <w:rFonts w:ascii="楷体_GB2312" w:eastAsia="楷体_GB2312" w:hAnsi="仿宋"/>
          <w:sz w:val="32"/>
          <w:szCs w:val="32"/>
        </w:rPr>
      </w:pPr>
      <w:r>
        <w:rPr>
          <w:rFonts w:ascii="楷体_GB2312" w:eastAsia="楷体_GB2312" w:hAnsi="仿宋" w:hint="eastAsia"/>
          <w:sz w:val="32"/>
          <w:szCs w:val="32"/>
        </w:rPr>
        <w:t>（三）碳资产评估目的与价值类型。</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t>在不同行业企业逐步纳入全国碳交易市场进程中，会不可避免地面临碳排放需求因而碳资产价值存在巨大差异，但需接受相同市场碳价的问题。企业开展碳资产评估的目的，甚至更加关注市场交易以外的经济行为，如碳资产管理、编制财务报告等。因此，市场价值以外的价值类型特别是在用价值的评估结果，更能为企业决策提供参考。本专家指引分别介绍并列举了可能的碳资产评估目的与价值类型，以供评估人员在实践活动中参考。</w:t>
      </w:r>
    </w:p>
    <w:p w:rsidR="0028646B" w:rsidRDefault="0068618A" w:rsidP="00783E27">
      <w:pPr>
        <w:adjustRightInd w:val="0"/>
        <w:snapToGrid w:val="0"/>
        <w:spacing w:line="578" w:lineRule="exact"/>
        <w:ind w:firstLineChars="200" w:firstLine="630"/>
        <w:rPr>
          <w:rFonts w:ascii="楷体_GB2312" w:eastAsia="楷体_GB2312" w:hAnsi="仿宋"/>
          <w:sz w:val="32"/>
          <w:szCs w:val="32"/>
        </w:rPr>
      </w:pPr>
      <w:r>
        <w:rPr>
          <w:rFonts w:ascii="楷体_GB2312" w:eastAsia="楷体_GB2312" w:hAnsi="仿宋" w:hint="eastAsia"/>
          <w:sz w:val="32"/>
          <w:szCs w:val="32"/>
        </w:rPr>
        <w:t>（四）碳资产评估方法与适用性。</w:t>
      </w:r>
    </w:p>
    <w:p w:rsidR="0028646B" w:rsidRDefault="0068618A" w:rsidP="00783E27">
      <w:pPr>
        <w:adjustRightInd w:val="0"/>
        <w:snapToGrid w:val="0"/>
        <w:spacing w:line="578" w:lineRule="exact"/>
        <w:ind w:firstLineChars="200" w:firstLine="630"/>
        <w:rPr>
          <w:rFonts w:ascii="仿宋_GB2312" w:eastAsia="仿宋_GB2312" w:hAnsi="仿宋"/>
          <w:sz w:val="32"/>
          <w:szCs w:val="32"/>
        </w:rPr>
      </w:pPr>
      <w:r>
        <w:rPr>
          <w:rFonts w:ascii="仿宋_GB2312" w:eastAsia="仿宋_GB2312" w:hAnsi="仿宋" w:hint="eastAsia"/>
          <w:sz w:val="32"/>
          <w:szCs w:val="32"/>
        </w:rPr>
        <w:lastRenderedPageBreak/>
        <w:t>本专家指引分别介绍了市场法、成本法、收益法、实物期权法以及影子价格法在碳资产评估中的应用模型、参数选择等问题。实践中，不同碳资产类型、评估目的和价值类型均会对碳资产的评估方法的适用性产生影响。因此，本专家指引专门分析了不同评估方法的适用条件，便于评估人员更有针对性地开展评估实践。</w:t>
      </w:r>
    </w:p>
    <w:p w:rsidR="0028646B" w:rsidRDefault="0068618A" w:rsidP="00783E27">
      <w:pPr>
        <w:adjustRightInd w:val="0"/>
        <w:snapToGrid w:val="0"/>
        <w:spacing w:line="578" w:lineRule="exact"/>
        <w:ind w:firstLineChars="200" w:firstLine="630"/>
        <w:rPr>
          <w:rFonts w:ascii="楷体_GB2312" w:eastAsia="楷体_GB2312" w:hAnsi="仿宋"/>
          <w:sz w:val="32"/>
          <w:szCs w:val="32"/>
        </w:rPr>
      </w:pPr>
      <w:r>
        <w:rPr>
          <w:rFonts w:ascii="楷体_GB2312" w:eastAsia="楷体_GB2312" w:hAnsi="仿宋" w:hint="eastAsia"/>
          <w:sz w:val="32"/>
          <w:szCs w:val="32"/>
        </w:rPr>
        <w:t>（五）需要重点关注或提出意见的内容。</w:t>
      </w:r>
    </w:p>
    <w:p w:rsidR="0028646B" w:rsidRDefault="0068618A">
      <w:pPr>
        <w:pStyle w:val="af0"/>
        <w:snapToGrid w:val="0"/>
        <w:spacing w:line="578" w:lineRule="exact"/>
        <w:ind w:firstLineChars="0" w:firstLine="640"/>
        <w:rPr>
          <w:rFonts w:ascii="仿宋_GB2312" w:eastAsia="仿宋_GB2312" w:hAnsi="仿宋"/>
          <w:sz w:val="32"/>
          <w:szCs w:val="32"/>
        </w:rPr>
      </w:pPr>
      <w:r>
        <w:rPr>
          <w:rFonts w:ascii="仿宋_GB2312" w:eastAsia="仿宋_GB2312" w:hAnsi="仿宋" w:hint="eastAsia"/>
          <w:sz w:val="32"/>
          <w:szCs w:val="32"/>
        </w:rPr>
        <w:t>希望对征求意见稿中碳资产评估目的、价值类型列举情况，评估方法可操作性和适用性，以及评估中披露内容的完善程度提出意见。</w:t>
      </w: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pStyle w:val="af0"/>
        <w:snapToGrid w:val="0"/>
        <w:spacing w:line="560" w:lineRule="exact"/>
        <w:ind w:firstLineChars="0" w:firstLine="640"/>
        <w:rPr>
          <w:rFonts w:ascii="仿宋_GB2312" w:eastAsia="仿宋_GB2312" w:hAnsi="仿宋"/>
          <w:sz w:val="32"/>
          <w:szCs w:val="32"/>
        </w:rPr>
      </w:pPr>
    </w:p>
    <w:p w:rsidR="0028646B" w:rsidRDefault="0028646B">
      <w:pPr>
        <w:snapToGrid w:val="0"/>
        <w:spacing w:line="560" w:lineRule="exact"/>
        <w:rPr>
          <w:rFonts w:ascii="仿宋_GB2312" w:eastAsia="仿宋_GB2312" w:hAnsi="仿宋"/>
          <w:sz w:val="32"/>
          <w:szCs w:val="32"/>
        </w:rPr>
      </w:pPr>
    </w:p>
    <w:sectPr w:rsidR="0028646B">
      <w:footerReference w:type="default" r:id="rId17"/>
      <w:pgSz w:w="11906" w:h="16838"/>
      <w:pgMar w:top="2098" w:right="1531" w:bottom="1984" w:left="1531" w:header="851" w:footer="1587" w:gutter="0"/>
      <w:cols w:space="425"/>
      <w:vAlign w:val="both"/>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3C" w:rsidRDefault="004A083C">
      <w:r>
        <w:separator/>
      </w:r>
    </w:p>
  </w:endnote>
  <w:endnote w:type="continuationSeparator" w:id="0">
    <w:p w:rsidR="004A083C" w:rsidRDefault="004A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66ACEC77-FB00-41A2-AF70-D9163AC854C1}"/>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embedRegular r:id="rId2" w:subsetted="1" w:fontKey="{CC24A904-88D2-4CF7-B649-7509F1617C44}"/>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D9A66E8A-2596-48DD-B2CA-403672AFC244}"/>
    <w:embedBold r:id="rId4" w:subsetted="1" w:fontKey="{78B0E21A-86E9-4A83-899D-57F79D6CEA77}"/>
  </w:font>
  <w:font w:name="Cambria Math">
    <w:panose1 w:val="02040503050406030204"/>
    <w:charset w:val="00"/>
    <w:family w:val="roman"/>
    <w:pitch w:val="variable"/>
    <w:sig w:usb0="E00002FF" w:usb1="420024FF" w:usb2="00000000" w:usb3="00000000" w:csb0="0000019F" w:csb1="00000000"/>
    <w:embedRegular r:id="rId5" w:subsetted="1" w:fontKey="{1DE1FEAB-CAE0-4501-8331-174863DA8E99}"/>
    <w:embedItalic r:id="rId6" w:subsetted="1" w:fontKey="{F76791E2-5286-4041-A726-9FCCA2B225DD}"/>
  </w:font>
  <w:font w:name="华文中宋">
    <w:panose1 w:val="02010600040101010101"/>
    <w:charset w:val="86"/>
    <w:family w:val="auto"/>
    <w:pitch w:val="variable"/>
    <w:sig w:usb0="00000287" w:usb1="080F0000" w:usb2="00000010" w:usb3="00000000" w:csb0="0004009F" w:csb1="00000000"/>
    <w:embedRegular r:id="rId7" w:subsetted="1" w:fontKey="{F3121367-7214-41BE-9B21-5C3F9365B6DC}"/>
  </w:font>
  <w:font w:name="楷体_GB2312">
    <w:panose1 w:val="02010609030101010101"/>
    <w:charset w:val="86"/>
    <w:family w:val="modern"/>
    <w:pitch w:val="fixed"/>
    <w:sig w:usb0="00000001" w:usb1="080E0000" w:usb2="00000010" w:usb3="00000000" w:csb0="00040000" w:csb1="00000000"/>
    <w:embedRegular r:id="rId8" w:subsetted="1" w:fontKey="{DAAEC3E2-5503-4944-98E4-84FA511F7C05}"/>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embedRegular r:id="rId9" w:subsetted="1" w:fontKey="{C4F5BC0C-743F-4C8B-A104-E2395FD19774}"/>
    <w:embedBold r:id="rId10" w:subsetted="1" w:fontKey="{A9910ED5-0D55-4BE4-B9C8-C3B2E78580C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F8" w:rsidRDefault="00DC38F8">
    <w:pPr>
      <w:pStyle w:val="a7"/>
    </w:pPr>
    <w:r>
      <w:rPr>
        <w:noProof/>
      </w:rPr>
      <mc:AlternateContent>
        <mc:Choice Requires="wps">
          <w:drawing>
            <wp:anchor distT="0" distB="0" distL="114300" distR="114300" simplePos="0" relativeHeight="251660288" behindDoc="0" locked="0" layoutInCell="1" allowOverlap="1" wp14:anchorId="0C4C0DBD" wp14:editId="5CB7BD09">
              <wp:simplePos x="0" y="0"/>
              <wp:positionH relativeFrom="margin">
                <wp:align>outside</wp:align>
              </wp:positionH>
              <wp:positionV relativeFrom="paragraph">
                <wp:posOffset>0</wp:posOffset>
              </wp:positionV>
              <wp:extent cx="718185" cy="23685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7181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38F8" w:rsidRDefault="00DC38F8">
                          <w:pPr>
                            <w:pStyle w:val="a7"/>
                            <w:ind w:leftChars="200" w:left="420" w:rightChars="200" w:right="42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margin-left:5.35pt;margin-top:0;width:56.55pt;height:18.6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" filled="f" stroked="f" strokeweight=".5pt">
              <v:textbox style="mso-fit-shape-to-text:t" inset="0,0,0,0">
                <w:txbxContent>
                  <w:p w:rsidR="00DC38F8" w:rsidRDefault="00DC38F8">
                    <w:pPr>
                      <w:pStyle w:val="a7"/>
                      <w:ind w:leftChars="200" w:left="420" w:rightChars="200" w:right="42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F8" w:rsidRDefault="00DC38F8">
    <w:pPr>
      <w:pStyle w:val="a7"/>
      <w:jc w:val="center"/>
    </w:pPr>
  </w:p>
  <w:p w:rsidR="00DC38F8" w:rsidRDefault="00DC38F8">
    <w:pPr>
      <w:pStyle w:val="a7"/>
    </w:pPr>
    <w:r>
      <w:rPr>
        <w:noProof/>
      </w:rPr>
      <mc:AlternateContent>
        <mc:Choice Requires="wps">
          <w:drawing>
            <wp:anchor distT="0" distB="0" distL="114300" distR="114300" simplePos="0" relativeHeight="251659264" behindDoc="0" locked="0" layoutInCell="1" allowOverlap="1" wp14:anchorId="0FDBF703" wp14:editId="049FE16B">
              <wp:simplePos x="0" y="0"/>
              <wp:positionH relativeFrom="margin">
                <wp:align>right</wp:align>
              </wp:positionH>
              <wp:positionV relativeFrom="paragraph">
                <wp:posOffset>13335</wp:posOffset>
              </wp:positionV>
              <wp:extent cx="629285" cy="236855"/>
              <wp:effectExtent l="0" t="0" r="0" b="10795"/>
              <wp:wrapNone/>
              <wp:docPr id="18" name="文本框 18"/>
              <wp:cNvGraphicFramePr/>
              <a:graphic xmlns:a="http://schemas.openxmlformats.org/drawingml/2006/main">
                <a:graphicData uri="http://schemas.microsoft.com/office/word/2010/wordprocessingShape">
                  <wps:wsp>
                    <wps:cNvSpPr txBox="1"/>
                    <wps:spPr>
                      <a:xfrm>
                        <a:off x="0" y="0"/>
                        <a:ext cx="6292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38F8" w:rsidRDefault="00DC38F8">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7" type="#_x0000_t202" style="position:absolute;margin-left:-1.65pt;margin-top:1.05pt;width:49.55pt;height:18.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" filled="f" stroked="f" strokeweight=".5pt">
              <v:textbox style="mso-fit-shape-to-text:t" inset="0,0,0,0">
                <w:txbxContent>
                  <w:p w:rsidR="00DC38F8" w:rsidRDefault="00DC38F8">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F8" w:rsidRDefault="00DC38F8">
    <w:pPr>
      <w:pStyle w:val="a7"/>
      <w:jc w:val="center"/>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111125</wp:posOffset>
              </wp:positionV>
              <wp:extent cx="718185" cy="236855"/>
              <wp:effectExtent l="0" t="0" r="0" b="10795"/>
              <wp:wrapNone/>
              <wp:docPr id="23" name="文本框 23"/>
              <wp:cNvGraphicFramePr/>
              <a:graphic xmlns:a="http://schemas.openxmlformats.org/drawingml/2006/main">
                <a:graphicData uri="http://schemas.microsoft.com/office/word/2010/wordprocessingShape">
                  <wps:wsp>
                    <wps:cNvSpPr txBox="1"/>
                    <wps:spPr>
                      <a:xfrm>
                        <a:off x="0" y="0"/>
                        <a:ext cx="7181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38F8" w:rsidRDefault="00DC38F8">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13</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28" type="#_x0000_t202" style="position:absolute;left:0;text-align:left;margin-left:5.35pt;margin-top:8.75pt;width:56.55pt;height:18.65pt;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" filled="f" stroked="f" strokeweight=".5pt">
              <v:textbox style="mso-fit-shape-to-text:t" inset="0,0,0,0">
                <w:txbxContent>
                  <w:p w:rsidR="00DC38F8" w:rsidRDefault="00DC38F8">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13</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rsidR="00DC38F8" w:rsidRDefault="00DC38F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F8" w:rsidRDefault="00DC38F8">
    <w:pPr>
      <w:pStyle w:val="a7"/>
      <w:jc w:val="cente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718185" cy="23685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7181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38F8" w:rsidRDefault="00DC38F8">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17</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29" type="#_x0000_t202" style="position:absolute;left:0;text-align:left;margin-left:5.35pt;margin-top:0;width:56.55pt;height:18.65pt;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" filled="f" stroked="f" strokeweight=".5pt">
              <v:textbox style="mso-fit-shape-to-text:t" inset="0,0,0,0">
                <w:txbxContent>
                  <w:p w:rsidR="00DC38F8" w:rsidRDefault="00DC38F8">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17</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rsidR="00DC38F8" w:rsidRDefault="00DC38F8">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F8" w:rsidRDefault="00DC38F8">
    <w:pPr>
      <w:pStyle w:val="a7"/>
      <w:jc w:val="center"/>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718185" cy="23685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7181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38F8" w:rsidRDefault="00DC38F8">
                          <w:pPr>
                            <w:pStyle w:val="a7"/>
                            <w:spacing w:beforeLines="50" w:before="120"/>
                            <w:ind w:leftChars="200" w:left="420" w:rightChars="200" w:right="42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37</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30" type="#_x0000_t202" style="position:absolute;left:0;text-align:left;margin-left:5.35pt;margin-top:0;width:56.55pt;height:18.65pt;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" filled="f" stroked="f" strokeweight=".5pt">
              <v:textbox style="mso-fit-shape-to-text:t" inset="0,0,0,0">
                <w:txbxContent>
                  <w:p w:rsidR="00DC38F8" w:rsidRDefault="00DC38F8">
                    <w:pPr>
                      <w:pStyle w:val="a7"/>
                      <w:spacing w:beforeLines="50" w:before="120"/>
                      <w:ind w:leftChars="200" w:left="420" w:rightChars="200" w:right="42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37</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rsidR="00DC38F8" w:rsidRDefault="00DC38F8">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F8" w:rsidRDefault="00DC38F8">
    <w:pPr>
      <w:pStyle w:val="a7"/>
      <w:jc w:val="center"/>
    </w:pPr>
  </w:p>
  <w:p w:rsidR="00DC38F8" w:rsidRDefault="00DC38F8">
    <w:pPr>
      <w:pStyle w:val="a7"/>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807085" cy="236855"/>
              <wp:effectExtent l="0" t="0" r="10795" b="10795"/>
              <wp:wrapNone/>
              <wp:docPr id="28" name="文本框 28"/>
              <wp:cNvGraphicFramePr/>
              <a:graphic xmlns:a="http://schemas.openxmlformats.org/drawingml/2006/main">
                <a:graphicData uri="http://schemas.microsoft.com/office/word/2010/wordprocessingShape">
                  <wps:wsp>
                    <wps:cNvSpPr txBox="1"/>
                    <wps:spPr>
                      <a:xfrm>
                        <a:off x="0" y="0"/>
                        <a:ext cx="8070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38F8" w:rsidRDefault="00DC38F8">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41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031" type="#_x0000_t202" style="position:absolute;margin-left:12.35pt;margin-top:0;width:63.55pt;height:18.65pt;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" filled="f" stroked="f" strokeweight=".5pt">
              <v:textbox style="mso-fit-shape-to-text:t" inset="0,0,0,0">
                <w:txbxContent>
                  <w:p w:rsidR="00DC38F8" w:rsidRDefault="00DC38F8">
                    <w:pPr>
                      <w:pStyle w:val="a7"/>
                      <w:ind w:leftChars="200" w:left="420" w:rightChars="200" w:right="4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41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F8" w:rsidRDefault="00DC38F8">
    <w:pPr>
      <w:pStyle w:val="a7"/>
      <w:jc w:val="center"/>
    </w:pP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718185" cy="23685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181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38F8" w:rsidRDefault="00DC38F8">
                          <w:pPr>
                            <w:pStyle w:val="a7"/>
                            <w:spacing w:beforeLines="50" w:before="120"/>
                            <w:ind w:leftChars="200" w:left="420" w:rightChars="200" w:right="42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57</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32" type="#_x0000_t202" style="position:absolute;left:0;text-align:left;margin-left:5.35pt;margin-top:0;width:56.55pt;height:18.65pt;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" filled="f" stroked="f" strokeweight=".5pt">
              <v:textbox style="mso-fit-shape-to-text:t" inset="0,0,0,0">
                <w:txbxContent>
                  <w:p w:rsidR="00DC38F8" w:rsidRDefault="00DC38F8">
                    <w:pPr>
                      <w:pStyle w:val="a7"/>
                      <w:spacing w:beforeLines="50" w:before="120"/>
                      <w:ind w:leftChars="200" w:left="420" w:rightChars="200" w:right="42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32BCD">
                      <w:rPr>
                        <w:rFonts w:ascii="宋体" w:hAnsi="宋体" w:cs="宋体"/>
                        <w:noProof/>
                        <w:sz w:val="28"/>
                        <w:szCs w:val="28"/>
                      </w:rPr>
                      <w:t>57</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rsidR="00DC38F8" w:rsidRDefault="00DC38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3C" w:rsidRDefault="004A083C">
      <w:r>
        <w:separator/>
      </w:r>
    </w:p>
  </w:footnote>
  <w:footnote w:type="continuationSeparator" w:id="0">
    <w:p w:rsidR="004A083C" w:rsidRDefault="004A0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F8" w:rsidRDefault="00DC38F8">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evenAndOddHeaders/>
  <w:drawingGridHorizontalSpacing w:val="205"/>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5ODhkNDVmYzFiODg5ODczNmNiYWQ0NTRhOTY1NGQifQ=="/>
  </w:docVars>
  <w:rsids>
    <w:rsidRoot w:val="009A5D9A"/>
    <w:rsid w:val="000029D7"/>
    <w:rsid w:val="00007385"/>
    <w:rsid w:val="00011C04"/>
    <w:rsid w:val="00024CCD"/>
    <w:rsid w:val="00030B6C"/>
    <w:rsid w:val="00053B99"/>
    <w:rsid w:val="00054463"/>
    <w:rsid w:val="00093FD3"/>
    <w:rsid w:val="00097910"/>
    <w:rsid w:val="000A1012"/>
    <w:rsid w:val="000A4A26"/>
    <w:rsid w:val="000B0A56"/>
    <w:rsid w:val="000C3D16"/>
    <w:rsid w:val="000D2BD2"/>
    <w:rsid w:val="000D4610"/>
    <w:rsid w:val="000E6414"/>
    <w:rsid w:val="000E77AF"/>
    <w:rsid w:val="000F0D44"/>
    <w:rsid w:val="000F540B"/>
    <w:rsid w:val="0010490A"/>
    <w:rsid w:val="0011251A"/>
    <w:rsid w:val="00120D89"/>
    <w:rsid w:val="001220FD"/>
    <w:rsid w:val="001344E6"/>
    <w:rsid w:val="0013782D"/>
    <w:rsid w:val="00137B7E"/>
    <w:rsid w:val="0016682C"/>
    <w:rsid w:val="00176CBA"/>
    <w:rsid w:val="001823A3"/>
    <w:rsid w:val="00195590"/>
    <w:rsid w:val="001A4E0C"/>
    <w:rsid w:val="001C5E27"/>
    <w:rsid w:val="001C64CB"/>
    <w:rsid w:val="001D6F21"/>
    <w:rsid w:val="001D72E2"/>
    <w:rsid w:val="001E39A4"/>
    <w:rsid w:val="001E7F76"/>
    <w:rsid w:val="001F00AE"/>
    <w:rsid w:val="00214338"/>
    <w:rsid w:val="002174BB"/>
    <w:rsid w:val="00222E80"/>
    <w:rsid w:val="002264BF"/>
    <w:rsid w:val="00227F64"/>
    <w:rsid w:val="0024287A"/>
    <w:rsid w:val="002746E7"/>
    <w:rsid w:val="00285541"/>
    <w:rsid w:val="0028646B"/>
    <w:rsid w:val="0029138A"/>
    <w:rsid w:val="002A2F6E"/>
    <w:rsid w:val="002A5A82"/>
    <w:rsid w:val="002B0017"/>
    <w:rsid w:val="002B4345"/>
    <w:rsid w:val="002B5F76"/>
    <w:rsid w:val="002C4999"/>
    <w:rsid w:val="002D0458"/>
    <w:rsid w:val="002E3FA5"/>
    <w:rsid w:val="002F202F"/>
    <w:rsid w:val="00306083"/>
    <w:rsid w:val="0030797E"/>
    <w:rsid w:val="003166E3"/>
    <w:rsid w:val="003172E7"/>
    <w:rsid w:val="003377E7"/>
    <w:rsid w:val="00355C6D"/>
    <w:rsid w:val="00373120"/>
    <w:rsid w:val="0038029D"/>
    <w:rsid w:val="0038330F"/>
    <w:rsid w:val="00384360"/>
    <w:rsid w:val="00386FDE"/>
    <w:rsid w:val="003B0F05"/>
    <w:rsid w:val="003B2C34"/>
    <w:rsid w:val="003B502C"/>
    <w:rsid w:val="003C6AB5"/>
    <w:rsid w:val="003E22E2"/>
    <w:rsid w:val="003F3A9C"/>
    <w:rsid w:val="00412452"/>
    <w:rsid w:val="0043529A"/>
    <w:rsid w:val="00465F61"/>
    <w:rsid w:val="0048326B"/>
    <w:rsid w:val="00486F02"/>
    <w:rsid w:val="004A083C"/>
    <w:rsid w:val="004A4512"/>
    <w:rsid w:val="004A7698"/>
    <w:rsid w:val="004A7EB8"/>
    <w:rsid w:val="004B41AA"/>
    <w:rsid w:val="004D2127"/>
    <w:rsid w:val="004E06E6"/>
    <w:rsid w:val="004E0D4F"/>
    <w:rsid w:val="004E3293"/>
    <w:rsid w:val="004E6E0E"/>
    <w:rsid w:val="0050284D"/>
    <w:rsid w:val="00510A14"/>
    <w:rsid w:val="005267A5"/>
    <w:rsid w:val="00536721"/>
    <w:rsid w:val="005443E5"/>
    <w:rsid w:val="0054692D"/>
    <w:rsid w:val="005558BE"/>
    <w:rsid w:val="00562E38"/>
    <w:rsid w:val="005806D4"/>
    <w:rsid w:val="005844A9"/>
    <w:rsid w:val="00597B35"/>
    <w:rsid w:val="005D04A8"/>
    <w:rsid w:val="005D206E"/>
    <w:rsid w:val="005D3374"/>
    <w:rsid w:val="005D3D63"/>
    <w:rsid w:val="005D4839"/>
    <w:rsid w:val="006119BB"/>
    <w:rsid w:val="00614995"/>
    <w:rsid w:val="006234A3"/>
    <w:rsid w:val="006442C0"/>
    <w:rsid w:val="00655033"/>
    <w:rsid w:val="00656242"/>
    <w:rsid w:val="00677C7C"/>
    <w:rsid w:val="00677CC7"/>
    <w:rsid w:val="006800FA"/>
    <w:rsid w:val="0068618A"/>
    <w:rsid w:val="00692D13"/>
    <w:rsid w:val="006960FD"/>
    <w:rsid w:val="006B6C9D"/>
    <w:rsid w:val="006C6AB7"/>
    <w:rsid w:val="006E2663"/>
    <w:rsid w:val="006E4F10"/>
    <w:rsid w:val="006F5E5A"/>
    <w:rsid w:val="006F61E6"/>
    <w:rsid w:val="007204E6"/>
    <w:rsid w:val="00727A9F"/>
    <w:rsid w:val="00732F33"/>
    <w:rsid w:val="00733AD7"/>
    <w:rsid w:val="00776065"/>
    <w:rsid w:val="00783E27"/>
    <w:rsid w:val="0078708A"/>
    <w:rsid w:val="007B17A1"/>
    <w:rsid w:val="007D4C76"/>
    <w:rsid w:val="007E68B2"/>
    <w:rsid w:val="008005B5"/>
    <w:rsid w:val="00823861"/>
    <w:rsid w:val="00825B98"/>
    <w:rsid w:val="00832BCD"/>
    <w:rsid w:val="008338ED"/>
    <w:rsid w:val="008430B8"/>
    <w:rsid w:val="00843107"/>
    <w:rsid w:val="008976D0"/>
    <w:rsid w:val="008C6253"/>
    <w:rsid w:val="008D0ACA"/>
    <w:rsid w:val="008D0F75"/>
    <w:rsid w:val="008D2A56"/>
    <w:rsid w:val="008D60D6"/>
    <w:rsid w:val="008E1A1F"/>
    <w:rsid w:val="008E26A1"/>
    <w:rsid w:val="008E3210"/>
    <w:rsid w:val="00903239"/>
    <w:rsid w:val="00903328"/>
    <w:rsid w:val="0093106F"/>
    <w:rsid w:val="00947E77"/>
    <w:rsid w:val="00951C7C"/>
    <w:rsid w:val="009527D2"/>
    <w:rsid w:val="009826DF"/>
    <w:rsid w:val="00994E8B"/>
    <w:rsid w:val="009957FD"/>
    <w:rsid w:val="009A5D9A"/>
    <w:rsid w:val="00A20BDE"/>
    <w:rsid w:val="00A20CEB"/>
    <w:rsid w:val="00A23318"/>
    <w:rsid w:val="00A276B1"/>
    <w:rsid w:val="00A32F7B"/>
    <w:rsid w:val="00A55D4D"/>
    <w:rsid w:val="00A775FC"/>
    <w:rsid w:val="00A8327A"/>
    <w:rsid w:val="00A87162"/>
    <w:rsid w:val="00A87A07"/>
    <w:rsid w:val="00A935B8"/>
    <w:rsid w:val="00A93CCB"/>
    <w:rsid w:val="00AA3E9D"/>
    <w:rsid w:val="00AB1E7A"/>
    <w:rsid w:val="00AB2A9E"/>
    <w:rsid w:val="00AE6A70"/>
    <w:rsid w:val="00AF6265"/>
    <w:rsid w:val="00B05D2E"/>
    <w:rsid w:val="00B26489"/>
    <w:rsid w:val="00B4381C"/>
    <w:rsid w:val="00B446BB"/>
    <w:rsid w:val="00B55D60"/>
    <w:rsid w:val="00B5640F"/>
    <w:rsid w:val="00B61E44"/>
    <w:rsid w:val="00B76FEA"/>
    <w:rsid w:val="00BA4C34"/>
    <w:rsid w:val="00BB03E3"/>
    <w:rsid w:val="00BC0645"/>
    <w:rsid w:val="00BD5945"/>
    <w:rsid w:val="00BF0FB1"/>
    <w:rsid w:val="00BF5604"/>
    <w:rsid w:val="00BF6195"/>
    <w:rsid w:val="00C01B49"/>
    <w:rsid w:val="00C05D86"/>
    <w:rsid w:val="00C05F71"/>
    <w:rsid w:val="00C13CBE"/>
    <w:rsid w:val="00C60092"/>
    <w:rsid w:val="00C72940"/>
    <w:rsid w:val="00C81D72"/>
    <w:rsid w:val="00CB3B02"/>
    <w:rsid w:val="00CC0E57"/>
    <w:rsid w:val="00CC2F5D"/>
    <w:rsid w:val="00CD0514"/>
    <w:rsid w:val="00CE5D3A"/>
    <w:rsid w:val="00CF2AE6"/>
    <w:rsid w:val="00CF77F6"/>
    <w:rsid w:val="00D01B35"/>
    <w:rsid w:val="00D06870"/>
    <w:rsid w:val="00D2174F"/>
    <w:rsid w:val="00D300DD"/>
    <w:rsid w:val="00D430C8"/>
    <w:rsid w:val="00D77EBE"/>
    <w:rsid w:val="00D85E45"/>
    <w:rsid w:val="00D87AF6"/>
    <w:rsid w:val="00D9210F"/>
    <w:rsid w:val="00D942EF"/>
    <w:rsid w:val="00DA1AD7"/>
    <w:rsid w:val="00DA41F5"/>
    <w:rsid w:val="00DA7C4A"/>
    <w:rsid w:val="00DC21D8"/>
    <w:rsid w:val="00DC38F8"/>
    <w:rsid w:val="00DC44B7"/>
    <w:rsid w:val="00DD1A4B"/>
    <w:rsid w:val="00DD5B8E"/>
    <w:rsid w:val="00DD7B00"/>
    <w:rsid w:val="00DE2272"/>
    <w:rsid w:val="00DF060B"/>
    <w:rsid w:val="00DF0EA6"/>
    <w:rsid w:val="00DF27A7"/>
    <w:rsid w:val="00DF3AF2"/>
    <w:rsid w:val="00DF5309"/>
    <w:rsid w:val="00DF5E70"/>
    <w:rsid w:val="00DF76C1"/>
    <w:rsid w:val="00E1785F"/>
    <w:rsid w:val="00E34E38"/>
    <w:rsid w:val="00E35CD0"/>
    <w:rsid w:val="00E3720E"/>
    <w:rsid w:val="00E711BB"/>
    <w:rsid w:val="00E74B57"/>
    <w:rsid w:val="00E81079"/>
    <w:rsid w:val="00E9087C"/>
    <w:rsid w:val="00E935D3"/>
    <w:rsid w:val="00E94320"/>
    <w:rsid w:val="00E97CEB"/>
    <w:rsid w:val="00EA5F9B"/>
    <w:rsid w:val="00EB1CC5"/>
    <w:rsid w:val="00EC5381"/>
    <w:rsid w:val="00EF1512"/>
    <w:rsid w:val="00EF2B14"/>
    <w:rsid w:val="00F03CA6"/>
    <w:rsid w:val="00F03DD9"/>
    <w:rsid w:val="00F05676"/>
    <w:rsid w:val="00F17B5A"/>
    <w:rsid w:val="00F2370F"/>
    <w:rsid w:val="00F30A68"/>
    <w:rsid w:val="00F31F0D"/>
    <w:rsid w:val="00F33D08"/>
    <w:rsid w:val="00F510CE"/>
    <w:rsid w:val="00F63C6B"/>
    <w:rsid w:val="00F750A9"/>
    <w:rsid w:val="00F91D2D"/>
    <w:rsid w:val="00F93A5A"/>
    <w:rsid w:val="00F93F0F"/>
    <w:rsid w:val="00FA1205"/>
    <w:rsid w:val="00FA1909"/>
    <w:rsid w:val="00FA68D5"/>
    <w:rsid w:val="00FA797B"/>
    <w:rsid w:val="00FB1003"/>
    <w:rsid w:val="00FC0543"/>
    <w:rsid w:val="00FD78F6"/>
    <w:rsid w:val="00FE08FA"/>
    <w:rsid w:val="00FE74C2"/>
    <w:rsid w:val="00FF1E1D"/>
    <w:rsid w:val="00FF7989"/>
    <w:rsid w:val="023C321E"/>
    <w:rsid w:val="02A0263F"/>
    <w:rsid w:val="07BB47F1"/>
    <w:rsid w:val="08E52DF8"/>
    <w:rsid w:val="0A5D21DB"/>
    <w:rsid w:val="0CE51F31"/>
    <w:rsid w:val="0DF30981"/>
    <w:rsid w:val="0E2B0A6D"/>
    <w:rsid w:val="0F726399"/>
    <w:rsid w:val="10067384"/>
    <w:rsid w:val="13093F3D"/>
    <w:rsid w:val="16D076F1"/>
    <w:rsid w:val="1AC6478A"/>
    <w:rsid w:val="1B0622EE"/>
    <w:rsid w:val="1D0C2A9C"/>
    <w:rsid w:val="2007660D"/>
    <w:rsid w:val="266C38D0"/>
    <w:rsid w:val="26B401B8"/>
    <w:rsid w:val="27123579"/>
    <w:rsid w:val="271B3099"/>
    <w:rsid w:val="282A4900"/>
    <w:rsid w:val="293C04FE"/>
    <w:rsid w:val="29F16272"/>
    <w:rsid w:val="2DC8595C"/>
    <w:rsid w:val="2E583A19"/>
    <w:rsid w:val="32815DBC"/>
    <w:rsid w:val="32C87FBC"/>
    <w:rsid w:val="38082142"/>
    <w:rsid w:val="39E52F7A"/>
    <w:rsid w:val="3B685725"/>
    <w:rsid w:val="3B9F2EA2"/>
    <w:rsid w:val="3E0C4078"/>
    <w:rsid w:val="410F37F8"/>
    <w:rsid w:val="41764686"/>
    <w:rsid w:val="45B0748B"/>
    <w:rsid w:val="45F31679"/>
    <w:rsid w:val="47CF3F37"/>
    <w:rsid w:val="480A6CBB"/>
    <w:rsid w:val="48345216"/>
    <w:rsid w:val="495E5B0A"/>
    <w:rsid w:val="4B7F252E"/>
    <w:rsid w:val="4CF1524B"/>
    <w:rsid w:val="4E054F6B"/>
    <w:rsid w:val="500317A1"/>
    <w:rsid w:val="509C7B65"/>
    <w:rsid w:val="5A661846"/>
    <w:rsid w:val="5B023511"/>
    <w:rsid w:val="5C125F5C"/>
    <w:rsid w:val="5CCF1623"/>
    <w:rsid w:val="5F14761F"/>
    <w:rsid w:val="618621FE"/>
    <w:rsid w:val="67526A7E"/>
    <w:rsid w:val="67593B55"/>
    <w:rsid w:val="6AD61917"/>
    <w:rsid w:val="6D840621"/>
    <w:rsid w:val="6EBA2A58"/>
    <w:rsid w:val="6F2B6AC3"/>
    <w:rsid w:val="6FF9572D"/>
    <w:rsid w:val="714C1DEF"/>
    <w:rsid w:val="72EF624A"/>
    <w:rsid w:val="74F36EAD"/>
    <w:rsid w:val="75116DF0"/>
    <w:rsid w:val="76E501F1"/>
    <w:rsid w:val="77F058B0"/>
    <w:rsid w:val="78F51619"/>
    <w:rsid w:val="7B445E72"/>
    <w:rsid w:val="7C3D3063"/>
    <w:rsid w:val="7F027CD8"/>
    <w:rsid w:val="7FE82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qFormat="1"/>
    <w:lsdException w:name="Normal Indent" w:qFormat="1"/>
    <w:lsdException w:name="footnote text" w:uiPriority="9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uiPriority="99"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tLeast"/>
      <w:outlineLvl w:val="0"/>
    </w:pPr>
    <w:rPr>
      <w:b/>
      <w:bCs/>
      <w:kern w:val="44"/>
      <w:sz w:val="44"/>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semiHidden/>
    <w:unhideWhenUsed/>
    <w:qFormat/>
    <w:pPr>
      <w:widowControl w:val="0"/>
      <w:ind w:firstLineChars="200" w:firstLine="420"/>
      <w:jc w:val="both"/>
    </w:pPr>
    <w:rPr>
      <w:kern w:val="2"/>
      <w:sz w:val="21"/>
      <w:szCs w:val="24"/>
    </w:rPr>
  </w:style>
  <w:style w:type="paragraph" w:styleId="a4">
    <w:name w:val="annotation text"/>
    <w:basedOn w:val="a"/>
    <w:link w:val="Char"/>
    <w:qFormat/>
    <w:pPr>
      <w:jc w:val="left"/>
    </w:pPr>
  </w:style>
  <w:style w:type="paragraph" w:styleId="a5">
    <w:name w:val="Body Text"/>
    <w:next w:val="a"/>
    <w:uiPriority w:val="1"/>
    <w:qFormat/>
    <w:pPr>
      <w:widowControl w:val="0"/>
      <w:spacing w:after="120"/>
      <w:jc w:val="both"/>
    </w:pPr>
    <w:rPr>
      <w:kern w:val="2"/>
      <w:sz w:val="21"/>
      <w:szCs w:val="24"/>
    </w:rPr>
  </w:style>
  <w:style w:type="paragraph" w:styleId="a6">
    <w:name w:val="Balloon Text"/>
    <w:basedOn w:val="a"/>
    <w:semiHidden/>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style>
  <w:style w:type="paragraph" w:styleId="a9">
    <w:name w:val="footnote text"/>
    <w:basedOn w:val="a"/>
    <w:uiPriority w:val="99"/>
    <w:semiHidden/>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2"/>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semiHidden/>
    <w:unhideWhenUsed/>
    <w:qFormat/>
    <w:rPr>
      <w:color w:val="0000FF"/>
      <w:u w:val="single"/>
    </w:rPr>
  </w:style>
  <w:style w:type="character" w:styleId="ae">
    <w:name w:val="annotation reference"/>
    <w:basedOn w:val="a1"/>
    <w:qFormat/>
    <w:rPr>
      <w:sz w:val="21"/>
      <w:szCs w:val="21"/>
    </w:rPr>
  </w:style>
  <w:style w:type="character" w:styleId="af">
    <w:name w:val="footnote reference"/>
    <w:basedOn w:val="a1"/>
    <w:uiPriority w:val="99"/>
    <w:semiHidden/>
    <w:unhideWhenUsed/>
    <w:qFormat/>
    <w:rPr>
      <w:vertAlign w:val="superscript"/>
    </w:rPr>
  </w:style>
  <w:style w:type="character" w:customStyle="1" w:styleId="Char">
    <w:name w:val="批注文字 Char"/>
    <w:link w:val="a4"/>
    <w:qFormat/>
    <w:rPr>
      <w:kern w:val="2"/>
      <w:sz w:val="21"/>
      <w:szCs w:val="24"/>
    </w:rPr>
  </w:style>
  <w:style w:type="character" w:customStyle="1" w:styleId="Char2">
    <w:name w:val="批注主题 Char"/>
    <w:link w:val="ab"/>
    <w:qFormat/>
    <w:rPr>
      <w:b/>
      <w:bCs/>
      <w:kern w:val="2"/>
      <w:sz w:val="21"/>
      <w:szCs w:val="24"/>
    </w:rPr>
  </w:style>
  <w:style w:type="paragraph" w:customStyle="1" w:styleId="11">
    <w:name w:val="列出段落1"/>
    <w:basedOn w:val="a"/>
    <w:uiPriority w:val="34"/>
    <w:qFormat/>
    <w:pPr>
      <w:ind w:firstLineChars="200" w:firstLine="420"/>
    </w:pPr>
    <w:rPr>
      <w:rFonts w:ascii="Calibri" w:hAnsi="Calibri" w:cs="黑体"/>
      <w:szCs w:val="22"/>
    </w:rPr>
  </w:style>
  <w:style w:type="character" w:customStyle="1" w:styleId="Char1">
    <w:name w:val="页眉 Char1"/>
    <w:basedOn w:val="a1"/>
    <w:link w:val="a8"/>
    <w:uiPriority w:val="99"/>
    <w:qFormat/>
    <w:rPr>
      <w:kern w:val="2"/>
      <w:sz w:val="18"/>
      <w:szCs w:val="18"/>
    </w:rPr>
  </w:style>
  <w:style w:type="character" w:customStyle="1" w:styleId="Char0">
    <w:name w:val="页脚 Char"/>
    <w:basedOn w:val="a1"/>
    <w:link w:val="a7"/>
    <w:uiPriority w:val="99"/>
    <w:qFormat/>
    <w:rPr>
      <w:kern w:val="2"/>
      <w:sz w:val="18"/>
      <w:szCs w:val="18"/>
    </w:rPr>
  </w:style>
  <w:style w:type="paragraph" w:customStyle="1" w:styleId="12">
    <w:name w:val="修订1"/>
    <w:hidden/>
    <w:uiPriority w:val="99"/>
    <w:semiHidden/>
    <w:qFormat/>
    <w:rPr>
      <w:kern w:val="2"/>
      <w:sz w:val="21"/>
      <w:szCs w:val="24"/>
    </w:rPr>
  </w:style>
  <w:style w:type="character" w:customStyle="1" w:styleId="Char3">
    <w:name w:val="页眉 Char"/>
    <w:qFormat/>
    <w:rPr>
      <w:kern w:val="2"/>
      <w:sz w:val="18"/>
      <w:szCs w:val="18"/>
    </w:r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styleId="af0">
    <w:name w:val="List Paragraph"/>
    <w:basedOn w:val="a"/>
    <w:uiPriority w:val="34"/>
    <w:qFormat/>
    <w:pPr>
      <w:ind w:firstLineChars="200" w:firstLine="420"/>
    </w:pPr>
  </w:style>
  <w:style w:type="paragraph" w:customStyle="1" w:styleId="af1">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2">
    <w:name w:val="章标题"/>
    <w:next w:val="af1"/>
    <w:qFormat/>
    <w:pPr>
      <w:spacing w:beforeLines="100" w:afterLines="100"/>
      <w:jc w:val="both"/>
      <w:outlineLvl w:val="1"/>
    </w:pPr>
    <w:rPr>
      <w:rFonts w:ascii="黑体" w:eastAsia="黑体" w:cs="黑体"/>
      <w:sz w:val="21"/>
      <w:szCs w:val="21"/>
    </w:rPr>
  </w:style>
  <w:style w:type="paragraph" w:customStyle="1" w:styleId="20">
    <w:name w:val="修订2"/>
    <w:hidden/>
    <w:uiPriority w:val="99"/>
    <w:semiHidden/>
    <w:qFormat/>
    <w:rPr>
      <w:kern w:val="2"/>
      <w:sz w:val="21"/>
      <w:szCs w:val="24"/>
    </w:rPr>
  </w:style>
  <w:style w:type="paragraph" w:customStyle="1" w:styleId="3">
    <w:name w:val="修订3"/>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qFormat="1"/>
    <w:lsdException w:name="Normal Indent" w:qFormat="1"/>
    <w:lsdException w:name="footnote text" w:uiPriority="9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uiPriority="99"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tLeast"/>
      <w:outlineLvl w:val="0"/>
    </w:pPr>
    <w:rPr>
      <w:b/>
      <w:bCs/>
      <w:kern w:val="44"/>
      <w:sz w:val="44"/>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semiHidden/>
    <w:unhideWhenUsed/>
    <w:qFormat/>
    <w:pPr>
      <w:widowControl w:val="0"/>
      <w:ind w:firstLineChars="200" w:firstLine="420"/>
      <w:jc w:val="both"/>
    </w:pPr>
    <w:rPr>
      <w:kern w:val="2"/>
      <w:sz w:val="21"/>
      <w:szCs w:val="24"/>
    </w:rPr>
  </w:style>
  <w:style w:type="paragraph" w:styleId="a4">
    <w:name w:val="annotation text"/>
    <w:basedOn w:val="a"/>
    <w:link w:val="Char"/>
    <w:qFormat/>
    <w:pPr>
      <w:jc w:val="left"/>
    </w:pPr>
  </w:style>
  <w:style w:type="paragraph" w:styleId="a5">
    <w:name w:val="Body Text"/>
    <w:next w:val="a"/>
    <w:uiPriority w:val="1"/>
    <w:qFormat/>
    <w:pPr>
      <w:widowControl w:val="0"/>
      <w:spacing w:after="120"/>
      <w:jc w:val="both"/>
    </w:pPr>
    <w:rPr>
      <w:kern w:val="2"/>
      <w:sz w:val="21"/>
      <w:szCs w:val="24"/>
    </w:rPr>
  </w:style>
  <w:style w:type="paragraph" w:styleId="a6">
    <w:name w:val="Balloon Text"/>
    <w:basedOn w:val="a"/>
    <w:semiHidden/>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style>
  <w:style w:type="paragraph" w:styleId="a9">
    <w:name w:val="footnote text"/>
    <w:basedOn w:val="a"/>
    <w:uiPriority w:val="99"/>
    <w:semiHidden/>
    <w:unhideWhenUsed/>
    <w:qFormat/>
    <w:pPr>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2"/>
    <w:qFormat/>
    <w:rPr>
      <w:b/>
      <w:bCs/>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semiHidden/>
    <w:unhideWhenUsed/>
    <w:qFormat/>
    <w:rPr>
      <w:color w:val="0000FF"/>
      <w:u w:val="single"/>
    </w:rPr>
  </w:style>
  <w:style w:type="character" w:styleId="ae">
    <w:name w:val="annotation reference"/>
    <w:basedOn w:val="a1"/>
    <w:qFormat/>
    <w:rPr>
      <w:sz w:val="21"/>
      <w:szCs w:val="21"/>
    </w:rPr>
  </w:style>
  <w:style w:type="character" w:styleId="af">
    <w:name w:val="footnote reference"/>
    <w:basedOn w:val="a1"/>
    <w:uiPriority w:val="99"/>
    <w:semiHidden/>
    <w:unhideWhenUsed/>
    <w:qFormat/>
    <w:rPr>
      <w:vertAlign w:val="superscript"/>
    </w:rPr>
  </w:style>
  <w:style w:type="character" w:customStyle="1" w:styleId="Char">
    <w:name w:val="批注文字 Char"/>
    <w:link w:val="a4"/>
    <w:qFormat/>
    <w:rPr>
      <w:kern w:val="2"/>
      <w:sz w:val="21"/>
      <w:szCs w:val="24"/>
    </w:rPr>
  </w:style>
  <w:style w:type="character" w:customStyle="1" w:styleId="Char2">
    <w:name w:val="批注主题 Char"/>
    <w:link w:val="ab"/>
    <w:qFormat/>
    <w:rPr>
      <w:b/>
      <w:bCs/>
      <w:kern w:val="2"/>
      <w:sz w:val="21"/>
      <w:szCs w:val="24"/>
    </w:rPr>
  </w:style>
  <w:style w:type="paragraph" w:customStyle="1" w:styleId="11">
    <w:name w:val="列出段落1"/>
    <w:basedOn w:val="a"/>
    <w:uiPriority w:val="34"/>
    <w:qFormat/>
    <w:pPr>
      <w:ind w:firstLineChars="200" w:firstLine="420"/>
    </w:pPr>
    <w:rPr>
      <w:rFonts w:ascii="Calibri" w:hAnsi="Calibri" w:cs="黑体"/>
      <w:szCs w:val="22"/>
    </w:rPr>
  </w:style>
  <w:style w:type="character" w:customStyle="1" w:styleId="Char1">
    <w:name w:val="页眉 Char1"/>
    <w:basedOn w:val="a1"/>
    <w:link w:val="a8"/>
    <w:uiPriority w:val="99"/>
    <w:qFormat/>
    <w:rPr>
      <w:kern w:val="2"/>
      <w:sz w:val="18"/>
      <w:szCs w:val="18"/>
    </w:rPr>
  </w:style>
  <w:style w:type="character" w:customStyle="1" w:styleId="Char0">
    <w:name w:val="页脚 Char"/>
    <w:basedOn w:val="a1"/>
    <w:link w:val="a7"/>
    <w:uiPriority w:val="99"/>
    <w:qFormat/>
    <w:rPr>
      <w:kern w:val="2"/>
      <w:sz w:val="18"/>
      <w:szCs w:val="18"/>
    </w:rPr>
  </w:style>
  <w:style w:type="paragraph" w:customStyle="1" w:styleId="12">
    <w:name w:val="修订1"/>
    <w:hidden/>
    <w:uiPriority w:val="99"/>
    <w:semiHidden/>
    <w:qFormat/>
    <w:rPr>
      <w:kern w:val="2"/>
      <w:sz w:val="21"/>
      <w:szCs w:val="24"/>
    </w:rPr>
  </w:style>
  <w:style w:type="character" w:customStyle="1" w:styleId="Char3">
    <w:name w:val="页眉 Char"/>
    <w:qFormat/>
    <w:rPr>
      <w:kern w:val="2"/>
      <w:sz w:val="18"/>
      <w:szCs w:val="18"/>
    </w:r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styleId="af0">
    <w:name w:val="List Paragraph"/>
    <w:basedOn w:val="a"/>
    <w:uiPriority w:val="34"/>
    <w:qFormat/>
    <w:pPr>
      <w:ind w:firstLineChars="200" w:firstLine="420"/>
    </w:pPr>
  </w:style>
  <w:style w:type="paragraph" w:customStyle="1" w:styleId="af1">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2">
    <w:name w:val="章标题"/>
    <w:next w:val="af1"/>
    <w:qFormat/>
    <w:pPr>
      <w:spacing w:beforeLines="100" w:afterLines="100"/>
      <w:jc w:val="both"/>
      <w:outlineLvl w:val="1"/>
    </w:pPr>
    <w:rPr>
      <w:rFonts w:ascii="黑体" w:eastAsia="黑体" w:cs="黑体"/>
      <w:sz w:val="21"/>
      <w:szCs w:val="21"/>
    </w:rPr>
  </w:style>
  <w:style w:type="paragraph" w:customStyle="1" w:styleId="20">
    <w:name w:val="修订2"/>
    <w:hidden/>
    <w:uiPriority w:val="99"/>
    <w:semiHidden/>
    <w:qFormat/>
    <w:rPr>
      <w:kern w:val="2"/>
      <w:sz w:val="21"/>
      <w:szCs w:val="24"/>
    </w:rPr>
  </w:style>
  <w:style w:type="paragraph" w:customStyle="1" w:styleId="3">
    <w:name w:val="修订3"/>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92E36-E952-40D2-9604-572AEEC4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12864</Words>
  <Characters>13123</Characters>
  <Application>Microsoft Office Word</Application>
  <DocSecurity>0</DocSecurity>
  <Lines>596</Lines>
  <Paragraphs>298</Paragraphs>
  <ScaleCrop>false</ScaleCrop>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2022-06-08T02:38:00Z</cp:lastPrinted>
  <dcterms:created xsi:type="dcterms:W3CDTF">2022-06-08T02:32:00Z</dcterms:created>
  <dcterms:modified xsi:type="dcterms:W3CDTF">2022-06-08T04:49:00Z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3F1B3F1C99E6427E98D61146F9EA5012</vt:lpwstr>
  </property>
</Properties>
</file>