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985"/>
        </w:tabs>
        <w:spacing w:line="360" w:lineRule="auto"/>
        <w:rPr>
          <w:rFonts w:ascii="仿宋_GB2312" w:hAnsi="Arial" w:eastAsia="仿宋_GB2312" w:cs="Arial"/>
          <w:spacing w:val="-2"/>
          <w:sz w:val="32"/>
          <w:szCs w:val="32"/>
        </w:rPr>
      </w:pPr>
      <w:r>
        <w:rPr>
          <w:rFonts w:hint="eastAsia" w:ascii="仿宋_GB2312" w:hAnsi="Arial" w:eastAsia="仿宋_GB2312" w:cs="Arial"/>
          <w:spacing w:val="-2"/>
          <w:sz w:val="32"/>
          <w:szCs w:val="32"/>
        </w:rPr>
        <w:t>附件4：</w:t>
      </w:r>
    </w:p>
    <w:p>
      <w:pPr>
        <w:jc w:val="center"/>
        <w:rPr>
          <w:rFonts w:ascii="华文中宋" w:hAnsi="华文中宋" w:eastAsia="华文中宋"/>
          <w:szCs w:val="21"/>
        </w:rPr>
      </w:pPr>
    </w:p>
    <w:p>
      <w:pPr>
        <w:adjustRightInd w:val="0"/>
        <w:snapToGrid w:val="0"/>
        <w:jc w:val="center"/>
        <w:rPr>
          <w:rFonts w:hint="eastAsia" w:ascii="华文中宋" w:hAnsi="华文中宋" w:eastAsia="华文中宋"/>
          <w:sz w:val="44"/>
          <w:szCs w:val="44"/>
        </w:rPr>
      </w:pPr>
      <w:r>
        <w:rPr>
          <w:rFonts w:ascii="华文中宋" w:hAnsi="华文中宋" w:eastAsia="华文中宋"/>
          <w:sz w:val="44"/>
          <w:szCs w:val="44"/>
        </w:rPr>
        <w:t>资产评估操作专家提示</w:t>
      </w:r>
    </w:p>
    <w:p>
      <w:pPr>
        <w:adjustRightInd w:val="0"/>
        <w:snapToGrid w:val="0"/>
        <w:jc w:val="center"/>
        <w:rPr>
          <w:rFonts w:ascii="华文中宋" w:hAnsi="华文中宋" w:eastAsia="华文中宋"/>
          <w:sz w:val="44"/>
          <w:szCs w:val="44"/>
        </w:rPr>
      </w:pPr>
      <w:r>
        <w:rPr>
          <w:rFonts w:ascii="华文中宋" w:hAnsi="华文中宋" w:eastAsia="华文中宋"/>
          <w:sz w:val="44"/>
          <w:szCs w:val="44"/>
        </w:rPr>
        <w:t>——评估假设的使用与披露</w:t>
      </w:r>
    </w:p>
    <w:p>
      <w:pPr>
        <w:adjustRightInd w:val="0"/>
        <w:snapToGrid w:val="0"/>
        <w:jc w:val="center"/>
        <w:rPr>
          <w:rFonts w:ascii="华文中宋" w:hAnsi="华文中宋" w:eastAsia="华文中宋"/>
          <w:sz w:val="44"/>
          <w:szCs w:val="44"/>
        </w:rPr>
      </w:pPr>
      <w:r>
        <w:rPr>
          <w:rFonts w:hint="eastAsia" w:ascii="华文中宋" w:hAnsi="华文中宋" w:eastAsia="华文中宋"/>
          <w:sz w:val="44"/>
          <w:szCs w:val="44"/>
        </w:rPr>
        <w:t>（征求意见稿）</w:t>
      </w:r>
    </w:p>
    <w:p>
      <w:pPr>
        <w:spacing w:line="560" w:lineRule="exact"/>
        <w:jc w:val="center"/>
        <w:rPr>
          <w:rFonts w:ascii="Arial" w:hAnsi="黑体" w:eastAsia="黑体" w:cs="Arial"/>
          <w:b/>
          <w:sz w:val="28"/>
          <w:szCs w:val="28"/>
        </w:rPr>
      </w:pP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本专家提示是一种专家意见。评估机构执行相关评估业务，可以参照本专家提示，也可以根据具体情况采用其他适当的做法。中国资产评估协会将根据业务发展，对本专家提示进行更新。</w:t>
      </w:r>
    </w:p>
    <w:p>
      <w:pPr>
        <w:tabs>
          <w:tab w:val="left" w:pos="1985"/>
        </w:tabs>
        <w:spacing w:line="360" w:lineRule="auto"/>
        <w:ind w:firstLine="708" w:firstLineChars="224"/>
        <w:rPr>
          <w:rFonts w:ascii="仿宋_GB2312" w:hAnsi="Arial" w:eastAsia="仿宋_GB2312" w:cs="Arial"/>
          <w:b/>
          <w:bCs/>
          <w:spacing w:val="-2"/>
          <w:sz w:val="32"/>
          <w:szCs w:val="32"/>
        </w:rPr>
      </w:pPr>
      <w:r>
        <w:rPr>
          <w:rFonts w:hint="eastAsia" w:ascii="仿宋_GB2312" w:hAnsi="Arial" w:eastAsia="仿宋_GB2312" w:cs="Arial"/>
          <w:b/>
          <w:bCs/>
          <w:spacing w:val="-2"/>
          <w:sz w:val="32"/>
          <w:szCs w:val="32"/>
        </w:rPr>
        <w:t>一、评估假设理解</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1．相关文献有关评估假设的定义综述如下：</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中国资产评估协会出版的《资产评估学》，评估假设是指对评估过程中某些未被确切认识的事物，根据客观的正常情况或发展趋势所作的合乎情理的推断。评估假设也是评估结论成立的前提条件。“《资产评估准则——评估报告》讲解”，依据已掌握的数据资料对某一事物的某些特征或全部事实做出合乎逻辑的推断。这种依据有限事实，通过一系列推理，对于所研究的事物做出合乎逻辑的假定说明就叫假设。</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2．本专家提示关于评估假设的定义如下：</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评估结论的得出以及评估结论的成立，都具有一定的前提。该前提一部分是真实客观的事实；另一部分是根据客观的正常情况或发展趋势所作的合乎逻辑的推断。前者属于事实前提，后者属于假设前提。</w:t>
      </w:r>
    </w:p>
    <w:p>
      <w:pPr>
        <w:tabs>
          <w:tab w:val="left" w:pos="1985"/>
        </w:tabs>
        <w:spacing w:line="360" w:lineRule="auto"/>
        <w:jc w:val="center"/>
        <w:rPr>
          <w:rFonts w:hint="eastAsia" w:ascii="仿宋_GB2312" w:hAnsi="Arial" w:eastAsia="仿宋_GB2312" w:cs="Arial"/>
          <w:spacing w:val="-2"/>
          <w:sz w:val="32"/>
          <w:szCs w:val="32"/>
        </w:rPr>
      </w:pPr>
      <w:r>
        <w:rPr>
          <w:rFonts w:hint="eastAsia" w:ascii="仿宋_GB2312" w:hAnsi="Arial" w:eastAsia="仿宋_GB2312" w:cs="Arial"/>
          <w:spacing w:val="-2"/>
          <w:kern w:val="2"/>
          <w:sz w:val="32"/>
          <w:szCs w:val="32"/>
          <w:lang w:val="en-US" w:eastAsia="zh-CN" w:bidi="ar-SA"/>
        </w:rPr>
        <w:pict>
          <v:group id="组合 2" o:spid="_x0000_s1026" style="height:237.15pt;width:241.85pt;rotation:0f;" coordorigin="1303,2678" coordsize="6124,3952">
            <o:lock v:ext="edit" position="f" selection="f" grouping="f" rotation="f" cropping="f" text="f" aspectratio="f"/>
            <v:rect id="矩形 3" o:spid="_x0000_s1027" style="position:absolute;left:1303;top:2678;height:1361;width:2722;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textbox>
                <w:txbxContent>
                  <w:p>
                    <w:pPr>
                      <w:pStyle w:val="8"/>
                      <w:spacing w:before="0" w:beforeAutospacing="0" w:after="0" w:afterAutospacing="0"/>
                      <w:jc w:val="center"/>
                    </w:pPr>
                    <w:r>
                      <w:rPr>
                        <w:rFonts w:hint="eastAsia" w:ascii="黑体" w:eastAsia="黑体" w:cs="黑体"/>
                        <w:color w:val="000000"/>
                        <w:kern w:val="24"/>
                        <w:sz w:val="48"/>
                        <w:szCs w:val="48"/>
                      </w:rPr>
                      <w:t>事实前提</w:t>
                    </w:r>
                  </w:p>
                </w:txbxContent>
              </v:textbox>
            </v:rect>
            <v:rect id="矩形 4" o:spid="_x0000_s1028" style="position:absolute;left:1303;top:5173;height:1361;width:2722;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textbox>
                <w:txbxContent>
                  <w:p>
                    <w:pPr>
                      <w:pStyle w:val="8"/>
                      <w:spacing w:before="0" w:beforeAutospacing="0" w:after="0" w:afterAutospacing="0"/>
                      <w:jc w:val="center"/>
                    </w:pPr>
                    <w:r>
                      <w:rPr>
                        <w:rFonts w:hint="eastAsia" w:ascii="黑体" w:eastAsia="黑体" w:cs="黑体"/>
                        <w:color w:val="000000"/>
                        <w:kern w:val="24"/>
                        <w:sz w:val="48"/>
                        <w:szCs w:val="48"/>
                      </w:rPr>
                      <w:t>假设前提</w:t>
                    </w:r>
                  </w:p>
                </w:txbxContent>
              </v:textbox>
            </v:rect>
            <v:line id="直接连接符 5" o:spid="_x0000_s1029" style="position:absolute;left:4025;top:3359;height:0;width:34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直接连接符 6" o:spid="_x0000_s1030" style="position:absolute;left:4042;top:5854;height:0;width:34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直接连接符 7" o:spid="_x0000_s1031" style="position:absolute;left:4365;top:3359;height:2495;width: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直接连接符 8" o:spid="_x0000_s1032" style="position:absolute;left:4365;top:4606;height:0;width:34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矩形 9" o:spid="_x0000_s1033" style="position:absolute;left:4705;top:3854;height:1361;width:2722;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textbox>
                <w:txbxContent>
                  <w:p>
                    <w:pPr>
                      <w:pStyle w:val="8"/>
                      <w:spacing w:before="0" w:beforeAutospacing="0" w:after="0" w:afterAutospacing="0"/>
                      <w:jc w:val="center"/>
                    </w:pPr>
                    <w:r>
                      <w:rPr>
                        <w:rFonts w:hint="eastAsia" w:ascii="黑体" w:eastAsia="黑体" w:cs="黑体"/>
                        <w:color w:val="000000"/>
                        <w:kern w:val="24"/>
                        <w:sz w:val="48"/>
                        <w:szCs w:val="48"/>
                      </w:rPr>
                      <w:t>评估结论</w:t>
                    </w:r>
                  </w:p>
                </w:txbxContent>
              </v:textbox>
            </v:rect>
            <v:rect id="矩形 10" o:spid="_x0000_s1034" style="position:absolute;left:4705;top:5836;height:794;width:1474;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textbox>
                <w:txbxContent>
                  <w:p>
                    <w:pPr>
                      <w:pStyle w:val="8"/>
                      <w:spacing w:before="0" w:beforeAutospacing="0" w:after="0" w:afterAutospacing="0"/>
                      <w:jc w:val="center"/>
                    </w:pPr>
                    <w:r>
                      <w:rPr>
                        <w:rFonts w:hint="eastAsia" w:ascii="黑体" w:eastAsia="黑体" w:cs="黑体"/>
                        <w:color w:val="000000"/>
                        <w:kern w:val="24"/>
                        <w:sz w:val="36"/>
                        <w:szCs w:val="36"/>
                      </w:rPr>
                      <w:t>变化</w:t>
                    </w:r>
                  </w:p>
                </w:txbxContent>
              </v:textbox>
            </v:rect>
            <v:shape id="直接箭头连接符 11" o:spid="_x0000_s1035" type="#_x0000_t32" style="position:absolute;left:4025;top:6307;height:0;width:680;rotation:0f;" o:ole="f" fillcolor="#FFFFFF" filled="t" o:preferrelative="t" stroked="t" coordorigin="0,0" coordsize="21600,21600">
              <v:stroke color="#000000" color2="#FFFFFF" miterlimit="2" endarrow="open"/>
              <v:imagedata gain="65536f" blacklevel="0f" gamma="0"/>
              <o:lock v:ext="edit" position="f" selection="f" grouping="f" rotation="f" cropping="f" text="f" aspectratio="f"/>
            </v:shape>
            <v:shape id="直接箭头连接符 12" o:spid="_x0000_s1036" type="#_x0000_t32" style="position:absolute;left:5499;top:5173;flip:y;height:681;width:0;rotation:0f;" o:ole="f" fillcolor="#FFFFFF" filled="t" o:preferrelative="t" stroked="t" coordorigin="0,0" coordsize="21600,21600">
              <v:stroke color="#000000" color2="#FFFFFF" miterlimit="2" endarrow="open"/>
              <v:imagedata gain="65536f" blacklevel="0f" gamma="0"/>
              <o:lock v:ext="edit" position="f" selection="f" grouping="f" rotation="f" cropping="f" text="f" aspectratio="f"/>
            </v:shape>
            <w10:wrap type="none"/>
            <w10:anchorlock/>
          </v:group>
        </w:pic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3、评估假设的作用如下：</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通过假设，排除或固化评估对象实体、法律和经济属性方面的不确定性；排除或固化评估对象市场条件或趋势这些外部环境的不确定性；排除评估分析中所使用委托方数据资料完整性方面的不确定性，设定上述要素都是确实的，是进行评估必不可少的环节。</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收益预测假设，是未来收益指标预测结果的成立的前提；其实质是企业未来经营中的众多“变量”，一部分需要进行预测，另一部分需要进行固化，即假设。通常将有关评估外部环境“固化”：如宏观政治、经济、社会环境的稳定性，涉及的汇率、利率、税赋、物价或通货膨胀、人口、产业政策的变化趋势，外界不可抗力因素的影响等；将企业经营状态或环境“固化”：如企业的税收、管理、经营业务类型、方式、规模等。需要进行预测的变量，预测时也存在假设。</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评估假设直接与评估结论相关，评估假设变化，评估结论变化；评估假设重大变化，评估结论不成立。</w:t>
      </w:r>
    </w:p>
    <w:p>
      <w:pPr>
        <w:tabs>
          <w:tab w:val="left" w:pos="1985"/>
        </w:tabs>
        <w:spacing w:line="360" w:lineRule="auto"/>
        <w:ind w:firstLine="708" w:firstLineChars="224"/>
        <w:rPr>
          <w:rFonts w:ascii="仿宋_GB2312" w:hAnsi="Arial" w:eastAsia="仿宋_GB2312" w:cs="Arial"/>
          <w:b/>
          <w:bCs/>
          <w:spacing w:val="-2"/>
          <w:sz w:val="32"/>
          <w:szCs w:val="32"/>
        </w:rPr>
      </w:pPr>
      <w:r>
        <w:rPr>
          <w:rFonts w:hint="eastAsia" w:ascii="仿宋_GB2312" w:hAnsi="Arial" w:eastAsia="仿宋_GB2312" w:cs="Arial"/>
          <w:b/>
          <w:bCs/>
          <w:spacing w:val="-2"/>
          <w:sz w:val="32"/>
          <w:szCs w:val="32"/>
        </w:rPr>
        <w:t>二、评估假设类型</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1．相关文献有关评估假设的分类综述如下：</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中国资产评估协会出版的《资产评估学》，适用资产评估的假设有以下几种：（1）交易假设。交易假设是资产评估得以进行的一个最基本的前提假设，它是假定所有待评资产已经处在交易过程中，评估师根据待评估资产的交易条件等模拟市场进行估价。（2）公开市场假设。公开市场假设是对资拟进入的市场条件，以及资产在这样的市场条件下接受何种影响的一种假说明或限定。（3）持续使用假设。持续使用假设也是对资产拟进入的市场条件，以及在这样的市场条件下的资产状态的一种假定性描述或说明。持续使用假设又细分为三种具体情况：一是在用续用；二是转用续用；三是移地续用。（4）清算假设。清算假设是对资产在非公开市场条件下被迫出售或快速变现条件的假定说明。</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2．评估实务中常见的评估假设类型如下：</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（1）按照假设实现可能性（或概率），有推测性假设和逆向假设。</w:t>
      </w:r>
    </w:p>
    <w:p>
      <w:pPr>
        <w:tabs>
          <w:tab w:val="left" w:pos="1985"/>
        </w:tabs>
        <w:adjustRightInd w:val="0"/>
        <w:snapToGrid w:val="0"/>
        <w:spacing w:line="336"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（2）按照</w:t>
      </w:r>
      <w:r>
        <w:rPr>
          <w:rFonts w:ascii="仿宋_GB2312" w:hAnsi="Arial" w:eastAsia="仿宋_GB2312" w:cs="Arial"/>
          <w:spacing w:val="-2"/>
          <w:sz w:val="32"/>
          <w:szCs w:val="32"/>
        </w:rPr>
        <w:t>市场环境：</w:t>
      </w:r>
      <w:r>
        <w:rPr>
          <w:rFonts w:hint="eastAsia" w:ascii="仿宋_GB2312" w:hAnsi="Arial" w:eastAsia="仿宋_GB2312" w:cs="Arial"/>
          <w:spacing w:val="-2"/>
          <w:sz w:val="32"/>
          <w:szCs w:val="32"/>
        </w:rPr>
        <w:t>有宏观政治、经济、社会环境的稳定性，涉及的汇率、利率、税赋、物价或通货膨胀、人口、产业政策的变化趋势，外界不可抗力因素的影响等；</w:t>
      </w:r>
    </w:p>
    <w:p>
      <w:pPr>
        <w:tabs>
          <w:tab w:val="left" w:pos="1985"/>
        </w:tabs>
        <w:adjustRightInd w:val="0"/>
        <w:snapToGrid w:val="0"/>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（3）按照</w:t>
      </w:r>
      <w:r>
        <w:rPr>
          <w:rFonts w:ascii="仿宋_GB2312" w:hAnsi="Arial" w:eastAsia="仿宋_GB2312" w:cs="Arial"/>
          <w:spacing w:val="-2"/>
          <w:sz w:val="32"/>
          <w:szCs w:val="32"/>
        </w:rPr>
        <w:t>交易方式：</w:t>
      </w:r>
      <w:r>
        <w:rPr>
          <w:rFonts w:hint="eastAsia" w:ascii="仿宋_GB2312" w:hAnsi="Arial" w:eastAsia="仿宋_GB2312" w:cs="Arial"/>
          <w:spacing w:val="-2"/>
          <w:sz w:val="32"/>
          <w:szCs w:val="32"/>
        </w:rPr>
        <w:t>有</w:t>
      </w:r>
      <w:r>
        <w:rPr>
          <w:rFonts w:ascii="仿宋_GB2312" w:hAnsi="Arial" w:eastAsia="仿宋_GB2312" w:cs="Arial"/>
          <w:spacing w:val="-2"/>
          <w:sz w:val="32"/>
          <w:szCs w:val="32"/>
        </w:rPr>
        <w:t>公开市场假设、非公开市场假设等；</w:t>
      </w:r>
      <w:r>
        <w:rPr>
          <w:rFonts w:hint="eastAsia" w:ascii="仿宋_GB2312" w:hAnsi="Arial" w:eastAsia="仿宋_GB2312" w:cs="Arial"/>
          <w:spacing w:val="-2"/>
          <w:sz w:val="32"/>
          <w:szCs w:val="32"/>
        </w:rPr>
        <w:t>正常交易、强制出售。</w:t>
      </w:r>
    </w:p>
    <w:p>
      <w:pPr>
        <w:tabs>
          <w:tab w:val="left" w:pos="1985"/>
        </w:tabs>
        <w:adjustRightInd w:val="0"/>
        <w:snapToGrid w:val="0"/>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（4）按照</w:t>
      </w:r>
      <w:r>
        <w:rPr>
          <w:rFonts w:ascii="仿宋_GB2312" w:hAnsi="Arial" w:eastAsia="仿宋_GB2312" w:cs="Arial"/>
          <w:spacing w:val="-2"/>
          <w:sz w:val="32"/>
          <w:szCs w:val="32"/>
        </w:rPr>
        <w:t>企业存续状态：</w:t>
      </w:r>
      <w:r>
        <w:rPr>
          <w:rFonts w:hint="eastAsia" w:ascii="仿宋_GB2312" w:hAnsi="Arial" w:eastAsia="仿宋_GB2312" w:cs="Arial"/>
          <w:spacing w:val="-2"/>
          <w:sz w:val="32"/>
          <w:szCs w:val="32"/>
        </w:rPr>
        <w:t>有</w:t>
      </w:r>
      <w:r>
        <w:rPr>
          <w:rFonts w:ascii="仿宋_GB2312" w:hAnsi="Arial" w:eastAsia="仿宋_GB2312" w:cs="Arial"/>
          <w:spacing w:val="-2"/>
          <w:sz w:val="32"/>
          <w:szCs w:val="32"/>
        </w:rPr>
        <w:t>持续经营假设、产权主体变动假设、破产清算假设、结业清算假设、改变经营方式假设、调整产品结构假设、改变主营业务假设等；</w:t>
      </w:r>
    </w:p>
    <w:p>
      <w:pPr>
        <w:tabs>
          <w:tab w:val="left" w:pos="1985"/>
        </w:tabs>
        <w:adjustRightInd w:val="0"/>
        <w:snapToGrid w:val="0"/>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（5）按照</w:t>
      </w:r>
      <w:r>
        <w:rPr>
          <w:rFonts w:ascii="仿宋_GB2312" w:hAnsi="Arial" w:eastAsia="仿宋_GB2312" w:cs="Arial"/>
          <w:spacing w:val="-2"/>
          <w:sz w:val="32"/>
          <w:szCs w:val="32"/>
        </w:rPr>
        <w:t>资产使用状态</w:t>
      </w:r>
      <w:r>
        <w:rPr>
          <w:rFonts w:hint="eastAsia" w:ascii="仿宋_GB2312" w:hAnsi="Arial" w:eastAsia="仿宋_GB2312" w:cs="Arial"/>
          <w:spacing w:val="-2"/>
          <w:sz w:val="32"/>
          <w:szCs w:val="32"/>
        </w:rPr>
        <w:t>：继续使用或者变现；原地使用或者移地使用；现行用途使用或者改变用途使用。</w:t>
      </w:r>
    </w:p>
    <w:p>
      <w:pPr>
        <w:tabs>
          <w:tab w:val="left" w:pos="1985"/>
        </w:tabs>
        <w:adjustRightInd w:val="0"/>
        <w:snapToGrid w:val="0"/>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3．评估操作应综合使用上述假设。本专家提示从评估实务角度，提出常见的假设类型可分为四类：A类假设、B类假设、C类假设和D类假设。</w:t>
      </w:r>
    </w:p>
    <w:p>
      <w:pPr>
        <w:pStyle w:val="14"/>
        <w:tabs>
          <w:tab w:val="left" w:pos="1985"/>
        </w:tabs>
        <w:spacing w:line="500" w:lineRule="exact"/>
        <w:ind w:firstLine="618" w:firstLineChars="224"/>
        <w:rPr>
          <w:rFonts w:ascii="Arial" w:hAnsi="Arial" w:eastAsia="仿宋_GB2312" w:cs="Arial"/>
          <w:spacing w:val="-2"/>
          <w:sz w:val="28"/>
          <w:szCs w:val="28"/>
        </w:rPr>
      </w:pPr>
    </w:p>
    <w:tbl>
      <w:tblPr>
        <w:tblStyle w:val="12"/>
        <w:tblW w:w="8220" w:type="dxa"/>
        <w:jc w:val="center"/>
        <w:tblInd w:w="1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509"/>
        <w:gridCol w:w="851"/>
        <w:gridCol w:w="1207"/>
        <w:gridCol w:w="1821"/>
        <w:gridCol w:w="404"/>
        <w:gridCol w:w="34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0" w:hRule="atLeast"/>
          <w:jc w:val="center"/>
        </w:trPr>
        <w:tc>
          <w:tcPr>
            <w:tcW w:w="1360" w:type="dxa"/>
            <w:gridSpan w:val="2"/>
            <w:vMerge w:val="restart"/>
            <w:tcBorders>
              <w:top w:val="single" w:color="4A7EBB" w:sz="6" w:space="0"/>
              <w:left w:val="single" w:color="4A7EBB" w:sz="6" w:space="0"/>
              <w:bottom w:val="single" w:color="4A7EBB" w:sz="6" w:space="0"/>
              <w:right w:val="single" w:color="4A7EBB" w:sz="6" w:space="0"/>
            </w:tcBorders>
            <w:shd w:val="clear" w:color="auto" w:fill="10253F"/>
            <w:tcMar>
              <w:top w:w="15" w:type="dxa"/>
              <w:left w:w="71" w:type="dxa"/>
              <w:bottom w:w="0" w:type="dxa"/>
              <w:right w:w="71" w:type="dxa"/>
            </w:tcMar>
            <w:vAlign w:val="center"/>
          </w:tcPr>
          <w:p>
            <w:pPr>
              <w:spacing w:line="240" w:lineRule="exact"/>
              <w:jc w:val="center"/>
              <w:rPr>
                <w:rFonts w:ascii="黑体" w:hAnsi="黑体" w:eastAsia="黑体"/>
                <w:sz w:val="18"/>
                <w:szCs w:val="18"/>
              </w:rPr>
            </w:pPr>
          </w:p>
        </w:tc>
        <w:tc>
          <w:tcPr>
            <w:tcW w:w="1207" w:type="dxa"/>
            <w:vMerge w:val="restart"/>
            <w:tcBorders>
              <w:top w:val="single" w:color="4A7EBB" w:sz="6" w:space="0"/>
              <w:left w:val="single" w:color="4A7EBB" w:sz="6" w:space="0"/>
              <w:bottom w:val="single" w:color="4A7EBB" w:sz="6" w:space="0"/>
              <w:right w:val="single" w:color="4A7EBB" w:sz="6" w:space="0"/>
            </w:tcBorders>
            <w:shd w:val="clear" w:color="auto" w:fill="10253F"/>
            <w:tcMar>
              <w:top w:w="15" w:type="dxa"/>
              <w:left w:w="71" w:type="dxa"/>
              <w:bottom w:w="0" w:type="dxa"/>
              <w:right w:w="71" w:type="dxa"/>
            </w:tcMar>
            <w:vAlign w:val="center"/>
          </w:tcPr>
          <w:p>
            <w:pPr>
              <w:spacing w:line="240" w:lineRule="exact"/>
              <w:jc w:val="center"/>
              <w:rPr>
                <w:rFonts w:ascii="黑体" w:hAnsi="黑体" w:eastAsia="黑体"/>
                <w:sz w:val="18"/>
                <w:szCs w:val="18"/>
              </w:rPr>
            </w:pPr>
            <w:r>
              <w:rPr>
                <w:rFonts w:hint="eastAsia" w:ascii="黑体" w:hAnsi="黑体" w:eastAsia="黑体"/>
                <w:b/>
                <w:bCs/>
                <w:sz w:val="18"/>
                <w:szCs w:val="18"/>
              </w:rPr>
              <w:t>说明</w:t>
            </w:r>
          </w:p>
        </w:tc>
        <w:tc>
          <w:tcPr>
            <w:tcW w:w="5653" w:type="dxa"/>
            <w:gridSpan w:val="3"/>
            <w:tcBorders>
              <w:top w:val="single" w:color="4A7EBB" w:sz="6" w:space="0"/>
              <w:left w:val="single" w:color="4A7EBB" w:sz="6" w:space="0"/>
              <w:bottom w:val="single" w:color="4A7EBB" w:sz="6" w:space="0"/>
              <w:right w:val="single" w:color="4A7EBB" w:sz="6" w:space="0"/>
            </w:tcBorders>
            <w:shd w:val="clear" w:color="auto" w:fill="10253F"/>
            <w:tcMar>
              <w:top w:w="15" w:type="dxa"/>
              <w:left w:w="71" w:type="dxa"/>
              <w:bottom w:w="0" w:type="dxa"/>
              <w:right w:w="71" w:type="dxa"/>
            </w:tcMar>
            <w:vAlign w:val="center"/>
          </w:tcPr>
          <w:p>
            <w:pPr>
              <w:spacing w:line="240" w:lineRule="exact"/>
              <w:jc w:val="center"/>
              <w:rPr>
                <w:rFonts w:ascii="黑体" w:hAnsi="黑体" w:eastAsia="黑体"/>
                <w:sz w:val="18"/>
                <w:szCs w:val="18"/>
              </w:rPr>
            </w:pPr>
            <w:r>
              <w:rPr>
                <w:rFonts w:hint="eastAsia" w:ascii="黑体" w:hAnsi="黑体" w:eastAsia="黑体"/>
                <w:b/>
                <w:bCs/>
                <w:sz w:val="18"/>
                <w:szCs w:val="18"/>
              </w:rPr>
              <w:t>假设分类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0" w:hRule="atLeast"/>
          <w:jc w:val="center"/>
        </w:trPr>
        <w:tc>
          <w:tcPr>
            <w:tcW w:w="1360" w:type="dxa"/>
            <w:gridSpan w:val="2"/>
            <w:vMerge w:val="continue"/>
            <w:tcBorders>
              <w:top w:val="single" w:color="4A7EBB" w:sz="6" w:space="0"/>
              <w:left w:val="single" w:color="4A7EBB" w:sz="6" w:space="0"/>
              <w:bottom w:val="single" w:color="4A7EBB" w:sz="6" w:space="0"/>
              <w:right w:val="single" w:color="4A7EBB" w:sz="6" w:space="0"/>
            </w:tcBorders>
            <w:shd w:val="clear" w:color="auto" w:fill="auto"/>
            <w:vAlign w:val="center"/>
          </w:tcPr>
          <w:p>
            <w:pPr>
              <w:spacing w:line="240" w:lineRule="exact"/>
              <w:jc w:val="center"/>
              <w:rPr>
                <w:rFonts w:ascii="黑体" w:hAnsi="黑体" w:eastAsia="黑体"/>
                <w:sz w:val="18"/>
                <w:szCs w:val="18"/>
              </w:rPr>
            </w:pPr>
          </w:p>
        </w:tc>
        <w:tc>
          <w:tcPr>
            <w:tcW w:w="1207" w:type="dxa"/>
            <w:vMerge w:val="continue"/>
            <w:tcBorders>
              <w:top w:val="single" w:color="4A7EBB" w:sz="6" w:space="0"/>
              <w:left w:val="single" w:color="4A7EBB" w:sz="6" w:space="0"/>
              <w:bottom w:val="single" w:color="4A7EBB" w:sz="6" w:space="0"/>
              <w:right w:val="single" w:color="4A7EBB" w:sz="6" w:space="0"/>
            </w:tcBorders>
            <w:shd w:val="clear" w:color="auto" w:fill="auto"/>
            <w:vAlign w:val="center"/>
          </w:tcPr>
          <w:p>
            <w:pPr>
              <w:spacing w:line="240" w:lineRule="exact"/>
              <w:jc w:val="center"/>
              <w:rPr>
                <w:rFonts w:ascii="黑体" w:hAnsi="黑体" w:eastAsia="黑体"/>
                <w:sz w:val="18"/>
                <w:szCs w:val="18"/>
              </w:rPr>
            </w:pPr>
          </w:p>
        </w:tc>
        <w:tc>
          <w:tcPr>
            <w:tcW w:w="1821" w:type="dxa"/>
            <w:tcBorders>
              <w:top w:val="single" w:color="4A7EBB" w:sz="6" w:space="0"/>
              <w:left w:val="single" w:color="4A7EBB" w:sz="6" w:space="0"/>
              <w:bottom w:val="single" w:color="4A7EBB" w:sz="6" w:space="0"/>
              <w:right w:val="single" w:color="4A7EBB" w:sz="6" w:space="0"/>
            </w:tcBorders>
            <w:shd w:val="clear" w:color="auto" w:fill="10253F"/>
            <w:tcMar>
              <w:top w:w="15" w:type="dxa"/>
              <w:left w:w="71" w:type="dxa"/>
              <w:bottom w:w="0" w:type="dxa"/>
              <w:right w:w="71" w:type="dxa"/>
            </w:tcMar>
            <w:vAlign w:val="center"/>
          </w:tcPr>
          <w:p>
            <w:pPr>
              <w:spacing w:line="240" w:lineRule="exact"/>
              <w:jc w:val="center"/>
              <w:rPr>
                <w:rFonts w:ascii="黑体" w:hAnsi="黑体" w:eastAsia="黑体"/>
                <w:sz w:val="18"/>
                <w:szCs w:val="18"/>
              </w:rPr>
            </w:pPr>
            <w:r>
              <w:rPr>
                <w:rFonts w:hint="eastAsia" w:ascii="黑体" w:hAnsi="黑体" w:eastAsia="黑体"/>
                <w:b/>
                <w:bCs/>
                <w:sz w:val="18"/>
                <w:szCs w:val="18"/>
              </w:rPr>
              <w:t>分类</w:t>
            </w:r>
          </w:p>
        </w:tc>
        <w:tc>
          <w:tcPr>
            <w:tcW w:w="3832" w:type="dxa"/>
            <w:gridSpan w:val="2"/>
            <w:tcBorders>
              <w:top w:val="single" w:color="4A7EBB" w:sz="6" w:space="0"/>
              <w:left w:val="single" w:color="4A7EBB" w:sz="6" w:space="0"/>
              <w:bottom w:val="single" w:color="4A7EBB" w:sz="6" w:space="0"/>
              <w:right w:val="single" w:color="4A7EBB" w:sz="6" w:space="0"/>
            </w:tcBorders>
            <w:shd w:val="clear" w:color="auto" w:fill="10253F"/>
            <w:tcMar>
              <w:top w:w="15" w:type="dxa"/>
              <w:left w:w="71" w:type="dxa"/>
              <w:bottom w:w="0" w:type="dxa"/>
              <w:right w:w="71" w:type="dxa"/>
            </w:tcMar>
            <w:vAlign w:val="center"/>
          </w:tcPr>
          <w:p>
            <w:pPr>
              <w:spacing w:line="240" w:lineRule="exact"/>
              <w:jc w:val="center"/>
              <w:rPr>
                <w:rFonts w:ascii="黑体" w:hAnsi="黑体" w:eastAsia="黑体"/>
                <w:sz w:val="18"/>
                <w:szCs w:val="18"/>
              </w:rPr>
            </w:pPr>
            <w:r>
              <w:rPr>
                <w:rFonts w:hint="eastAsia" w:ascii="黑体" w:hAnsi="黑体" w:eastAsia="黑体"/>
                <w:b/>
                <w:bCs/>
                <w:sz w:val="18"/>
                <w:szCs w:val="18"/>
              </w:rPr>
              <w:t>内容（例）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0" w:hRule="atLeast"/>
          <w:jc w:val="center"/>
        </w:trPr>
        <w:tc>
          <w:tcPr>
            <w:tcW w:w="509" w:type="dxa"/>
            <w:vMerge w:val="restart"/>
            <w:tcBorders>
              <w:top w:val="single" w:color="4A7EBB" w:sz="6" w:space="0"/>
              <w:left w:val="single" w:color="4A7EBB" w:sz="6" w:space="0"/>
              <w:bottom w:val="single" w:color="4A7EBB" w:sz="6" w:space="0"/>
              <w:right w:val="single" w:color="4A7EBB" w:sz="6" w:space="0"/>
            </w:tcBorders>
            <w:tcMar>
              <w:top w:w="15" w:type="dxa"/>
              <w:left w:w="71" w:type="dxa"/>
              <w:bottom w:w="0" w:type="dxa"/>
              <w:right w:w="71" w:type="dxa"/>
            </w:tcMar>
            <w:vAlign w:val="center"/>
          </w:tcPr>
          <w:p>
            <w:pPr>
              <w:spacing w:line="240" w:lineRule="exact"/>
              <w:jc w:val="center"/>
              <w:rPr>
                <w:rFonts w:ascii="黑体" w:hAnsi="黑体" w:eastAsia="黑体"/>
                <w:sz w:val="18"/>
                <w:szCs w:val="18"/>
              </w:rPr>
            </w:pPr>
            <w:r>
              <w:rPr>
                <w:rFonts w:hint="eastAsia" w:ascii="黑体" w:hAnsi="黑体" w:eastAsia="黑体"/>
                <w:sz w:val="18"/>
                <w:szCs w:val="18"/>
              </w:rPr>
              <w:t>A类</w:t>
            </w:r>
          </w:p>
        </w:tc>
        <w:tc>
          <w:tcPr>
            <w:tcW w:w="851" w:type="dxa"/>
            <w:vMerge w:val="restart"/>
            <w:tcBorders>
              <w:top w:val="single" w:color="4A7EBB" w:sz="6" w:space="0"/>
              <w:left w:val="single" w:color="4A7EBB" w:sz="6" w:space="0"/>
              <w:bottom w:val="single" w:color="4A7EBB" w:sz="6" w:space="0"/>
              <w:right w:val="single" w:color="4A7EBB" w:sz="6" w:space="0"/>
            </w:tcBorders>
            <w:tcMar>
              <w:top w:w="15" w:type="dxa"/>
              <w:left w:w="71" w:type="dxa"/>
              <w:bottom w:w="0" w:type="dxa"/>
              <w:right w:w="71" w:type="dxa"/>
            </w:tcMar>
            <w:vAlign w:val="center"/>
          </w:tcPr>
          <w:p>
            <w:pPr>
              <w:spacing w:line="240" w:lineRule="exact"/>
              <w:jc w:val="center"/>
              <w:rPr>
                <w:rFonts w:ascii="黑体" w:hAnsi="黑体" w:eastAsia="黑体"/>
                <w:sz w:val="18"/>
                <w:szCs w:val="18"/>
              </w:rPr>
            </w:pPr>
            <w:r>
              <w:rPr>
                <w:rFonts w:hint="eastAsia" w:ascii="黑体" w:hAnsi="黑体" w:eastAsia="黑体"/>
                <w:sz w:val="18"/>
                <w:szCs w:val="18"/>
              </w:rPr>
              <w:t>宏观</w:t>
            </w:r>
          </w:p>
          <w:p>
            <w:pPr>
              <w:spacing w:line="240" w:lineRule="exact"/>
              <w:jc w:val="center"/>
              <w:rPr>
                <w:rFonts w:ascii="黑体" w:hAnsi="黑体" w:eastAsia="黑体"/>
                <w:sz w:val="18"/>
                <w:szCs w:val="18"/>
              </w:rPr>
            </w:pPr>
            <w:r>
              <w:rPr>
                <w:rFonts w:hint="eastAsia" w:ascii="黑体" w:hAnsi="黑体" w:eastAsia="黑体"/>
                <w:sz w:val="18"/>
                <w:szCs w:val="18"/>
              </w:rPr>
              <w:t>（国家）</w:t>
            </w:r>
          </w:p>
        </w:tc>
        <w:tc>
          <w:tcPr>
            <w:tcW w:w="1207" w:type="dxa"/>
            <w:vMerge w:val="restart"/>
            <w:tcBorders>
              <w:top w:val="single" w:color="4A7EBB" w:sz="6" w:space="0"/>
              <w:left w:val="single" w:color="4A7EBB" w:sz="6" w:space="0"/>
              <w:bottom w:val="single" w:color="4A7EBB" w:sz="6" w:space="0"/>
              <w:right w:val="single" w:color="4A7EBB" w:sz="6" w:space="0"/>
            </w:tcBorders>
            <w:tcMar>
              <w:top w:w="15" w:type="dxa"/>
              <w:left w:w="71" w:type="dxa"/>
              <w:bottom w:w="0" w:type="dxa"/>
              <w:right w:w="71" w:type="dxa"/>
            </w:tcMar>
            <w:vAlign w:val="center"/>
          </w:tcPr>
          <w:p>
            <w:pPr>
              <w:spacing w:line="240" w:lineRule="exact"/>
              <w:rPr>
                <w:rFonts w:ascii="黑体" w:hAnsi="黑体" w:eastAsia="黑体"/>
                <w:sz w:val="18"/>
                <w:szCs w:val="18"/>
              </w:rPr>
            </w:pPr>
            <w:r>
              <w:rPr>
                <w:rFonts w:hint="eastAsia" w:ascii="黑体" w:hAnsi="黑体" w:eastAsia="黑体"/>
                <w:sz w:val="18"/>
                <w:szCs w:val="18"/>
              </w:rPr>
              <w:t xml:space="preserve">针对一个国家（或地区）的所有行业、所有企业 </w:t>
            </w:r>
          </w:p>
        </w:tc>
        <w:tc>
          <w:tcPr>
            <w:tcW w:w="1821" w:type="dxa"/>
            <w:vMerge w:val="restart"/>
            <w:tcBorders>
              <w:top w:val="single" w:color="4A7EBB" w:sz="6" w:space="0"/>
              <w:left w:val="single" w:color="4A7EBB" w:sz="6" w:space="0"/>
              <w:bottom w:val="single" w:color="4A7EBB" w:sz="6" w:space="0"/>
              <w:right w:val="single" w:color="4A7EBB" w:sz="6" w:space="0"/>
            </w:tcBorders>
            <w:tcMar>
              <w:top w:w="15" w:type="dxa"/>
              <w:left w:w="71" w:type="dxa"/>
              <w:bottom w:w="0" w:type="dxa"/>
              <w:right w:w="71" w:type="dxa"/>
            </w:tcMar>
            <w:vAlign w:val="center"/>
          </w:tcPr>
          <w:p>
            <w:pPr>
              <w:spacing w:line="240" w:lineRule="exact"/>
              <w:rPr>
                <w:rFonts w:ascii="黑体" w:hAnsi="黑体" w:eastAsia="黑体"/>
                <w:sz w:val="18"/>
                <w:szCs w:val="18"/>
              </w:rPr>
            </w:pPr>
            <w:r>
              <w:rPr>
                <w:rFonts w:hint="eastAsia" w:ascii="黑体" w:hAnsi="黑体" w:eastAsia="黑体"/>
                <w:sz w:val="18"/>
                <w:szCs w:val="18"/>
              </w:rPr>
              <w:t xml:space="preserve">同一国家或地区时，属于一般性假设；不同国家或地区（跨国）属于针对性假设 </w:t>
            </w:r>
          </w:p>
        </w:tc>
        <w:tc>
          <w:tcPr>
            <w:tcW w:w="404" w:type="dxa"/>
            <w:tcBorders>
              <w:top w:val="single" w:color="4A7EBB" w:sz="6" w:space="0"/>
              <w:left w:val="single" w:color="4A7EBB" w:sz="6" w:space="0"/>
              <w:bottom w:val="single" w:color="4A7EBB" w:sz="6" w:space="0"/>
              <w:right w:val="single" w:color="4A7EBB" w:sz="6" w:space="0"/>
            </w:tcBorders>
            <w:tcMar>
              <w:top w:w="15" w:type="dxa"/>
              <w:left w:w="71" w:type="dxa"/>
              <w:bottom w:w="0" w:type="dxa"/>
              <w:right w:w="71" w:type="dxa"/>
            </w:tcMar>
            <w:vAlign w:val="center"/>
          </w:tcPr>
          <w:p>
            <w:pPr>
              <w:spacing w:line="240" w:lineRule="exact"/>
              <w:rPr>
                <w:rFonts w:ascii="黑体" w:hAnsi="黑体" w:eastAsia="黑体"/>
                <w:sz w:val="18"/>
                <w:szCs w:val="18"/>
              </w:rPr>
            </w:pPr>
            <w:r>
              <w:rPr>
                <w:rFonts w:hint="eastAsia" w:ascii="黑体" w:hAnsi="黑体" w:eastAsia="黑体"/>
                <w:sz w:val="18"/>
                <w:szCs w:val="18"/>
              </w:rPr>
              <w:t xml:space="preserve">1 </w:t>
            </w:r>
          </w:p>
        </w:tc>
        <w:tc>
          <w:tcPr>
            <w:tcW w:w="3428" w:type="dxa"/>
            <w:tcBorders>
              <w:top w:val="single" w:color="4A7EBB" w:sz="6" w:space="0"/>
              <w:left w:val="single" w:color="4A7EBB" w:sz="6" w:space="0"/>
              <w:bottom w:val="single" w:color="4A7EBB" w:sz="6" w:space="0"/>
              <w:right w:val="single" w:color="4A7EBB" w:sz="6" w:space="0"/>
            </w:tcBorders>
            <w:tcMar>
              <w:top w:w="15" w:type="dxa"/>
              <w:left w:w="71" w:type="dxa"/>
              <w:bottom w:w="0" w:type="dxa"/>
              <w:right w:w="71" w:type="dxa"/>
            </w:tcMar>
            <w:vAlign w:val="center"/>
          </w:tcPr>
          <w:p>
            <w:pPr>
              <w:spacing w:line="240" w:lineRule="exact"/>
              <w:rPr>
                <w:rFonts w:ascii="黑体" w:hAnsi="黑体" w:eastAsia="黑体"/>
                <w:sz w:val="18"/>
                <w:szCs w:val="18"/>
              </w:rPr>
            </w:pPr>
            <w:r>
              <w:rPr>
                <w:rFonts w:hint="eastAsia" w:ascii="黑体" w:hAnsi="黑体" w:eastAsia="黑体"/>
                <w:sz w:val="18"/>
                <w:szCs w:val="18"/>
              </w:rPr>
              <w:t xml:space="preserve">政治、经济、文化体制及相关政策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0" w:hRule="atLeast"/>
          <w:jc w:val="center"/>
        </w:trPr>
        <w:tc>
          <w:tcPr>
            <w:tcW w:w="509" w:type="dxa"/>
            <w:vMerge w:val="continue"/>
            <w:tcBorders>
              <w:top w:val="single" w:color="4A7EBB" w:sz="6" w:space="0"/>
              <w:left w:val="single" w:color="4A7EBB" w:sz="6" w:space="0"/>
              <w:bottom w:val="single" w:color="4A7EBB" w:sz="6" w:space="0"/>
              <w:right w:val="single" w:color="4A7EBB" w:sz="6" w:space="0"/>
            </w:tcBorders>
            <w:vAlign w:val="center"/>
          </w:tcPr>
          <w:p>
            <w:pPr>
              <w:spacing w:line="240" w:lineRule="exact"/>
              <w:jc w:val="center"/>
              <w:rPr>
                <w:rFonts w:ascii="黑体" w:hAnsi="黑体" w:eastAsia="黑体"/>
                <w:sz w:val="18"/>
                <w:szCs w:val="18"/>
              </w:rPr>
            </w:pPr>
          </w:p>
        </w:tc>
        <w:tc>
          <w:tcPr>
            <w:tcW w:w="851" w:type="dxa"/>
            <w:vMerge w:val="continue"/>
            <w:tcBorders>
              <w:top w:val="single" w:color="4A7EBB" w:sz="6" w:space="0"/>
              <w:left w:val="single" w:color="4A7EBB" w:sz="6" w:space="0"/>
              <w:bottom w:val="single" w:color="4A7EBB" w:sz="6" w:space="0"/>
              <w:right w:val="single" w:color="4A7EBB" w:sz="6" w:space="0"/>
            </w:tcBorders>
            <w:vAlign w:val="center"/>
          </w:tcPr>
          <w:p>
            <w:pPr>
              <w:spacing w:line="240" w:lineRule="exact"/>
              <w:jc w:val="center"/>
              <w:rPr>
                <w:rFonts w:ascii="黑体" w:hAnsi="黑体" w:eastAsia="黑体"/>
                <w:sz w:val="18"/>
                <w:szCs w:val="18"/>
              </w:rPr>
            </w:pPr>
          </w:p>
        </w:tc>
        <w:tc>
          <w:tcPr>
            <w:tcW w:w="1207" w:type="dxa"/>
            <w:vMerge w:val="continue"/>
            <w:tcBorders>
              <w:top w:val="single" w:color="4A7EBB" w:sz="6" w:space="0"/>
              <w:left w:val="single" w:color="4A7EBB" w:sz="6" w:space="0"/>
              <w:bottom w:val="single" w:color="4A7EBB" w:sz="6" w:space="0"/>
              <w:right w:val="single" w:color="4A7EBB" w:sz="6" w:space="0"/>
            </w:tcBorders>
            <w:vAlign w:val="center"/>
          </w:tcPr>
          <w:p>
            <w:pPr>
              <w:spacing w:line="240" w:lineRule="exact"/>
              <w:rPr>
                <w:rFonts w:ascii="黑体" w:hAnsi="黑体" w:eastAsia="黑体"/>
                <w:sz w:val="18"/>
                <w:szCs w:val="18"/>
              </w:rPr>
            </w:pPr>
          </w:p>
        </w:tc>
        <w:tc>
          <w:tcPr>
            <w:tcW w:w="1821" w:type="dxa"/>
            <w:vMerge w:val="continue"/>
            <w:tcBorders>
              <w:top w:val="single" w:color="4A7EBB" w:sz="6" w:space="0"/>
              <w:left w:val="single" w:color="4A7EBB" w:sz="6" w:space="0"/>
              <w:bottom w:val="single" w:color="4A7EBB" w:sz="6" w:space="0"/>
              <w:right w:val="single" w:color="4A7EBB" w:sz="6" w:space="0"/>
            </w:tcBorders>
            <w:vAlign w:val="center"/>
          </w:tcPr>
          <w:p>
            <w:pPr>
              <w:spacing w:line="240" w:lineRule="exact"/>
              <w:rPr>
                <w:rFonts w:ascii="黑体" w:hAnsi="黑体" w:eastAsia="黑体"/>
                <w:sz w:val="18"/>
                <w:szCs w:val="18"/>
              </w:rPr>
            </w:pPr>
          </w:p>
        </w:tc>
        <w:tc>
          <w:tcPr>
            <w:tcW w:w="404" w:type="dxa"/>
            <w:tcBorders>
              <w:top w:val="single" w:color="4A7EBB" w:sz="6" w:space="0"/>
              <w:left w:val="single" w:color="4A7EBB" w:sz="6" w:space="0"/>
              <w:bottom w:val="single" w:color="4A7EBB" w:sz="6" w:space="0"/>
              <w:right w:val="single" w:color="4A7EBB" w:sz="6" w:space="0"/>
            </w:tcBorders>
            <w:tcMar>
              <w:top w:w="15" w:type="dxa"/>
              <w:left w:w="71" w:type="dxa"/>
              <w:bottom w:w="0" w:type="dxa"/>
              <w:right w:w="71" w:type="dxa"/>
            </w:tcMar>
            <w:vAlign w:val="center"/>
          </w:tcPr>
          <w:p>
            <w:pPr>
              <w:spacing w:line="240" w:lineRule="exact"/>
              <w:rPr>
                <w:rFonts w:ascii="黑体" w:hAnsi="黑体" w:eastAsia="黑体"/>
                <w:sz w:val="18"/>
                <w:szCs w:val="18"/>
              </w:rPr>
            </w:pPr>
            <w:r>
              <w:rPr>
                <w:rFonts w:hint="eastAsia" w:ascii="黑体" w:hAnsi="黑体" w:eastAsia="黑体"/>
                <w:sz w:val="18"/>
                <w:szCs w:val="18"/>
              </w:rPr>
              <w:t xml:space="preserve">2 </w:t>
            </w:r>
          </w:p>
        </w:tc>
        <w:tc>
          <w:tcPr>
            <w:tcW w:w="3428" w:type="dxa"/>
            <w:tcBorders>
              <w:top w:val="single" w:color="4A7EBB" w:sz="6" w:space="0"/>
              <w:left w:val="single" w:color="4A7EBB" w:sz="6" w:space="0"/>
              <w:bottom w:val="single" w:color="4A7EBB" w:sz="6" w:space="0"/>
              <w:right w:val="single" w:color="4A7EBB" w:sz="6" w:space="0"/>
            </w:tcBorders>
            <w:tcMar>
              <w:top w:w="15" w:type="dxa"/>
              <w:left w:w="71" w:type="dxa"/>
              <w:bottom w:w="0" w:type="dxa"/>
              <w:right w:w="71" w:type="dxa"/>
            </w:tcMar>
            <w:vAlign w:val="center"/>
          </w:tcPr>
          <w:p>
            <w:pPr>
              <w:spacing w:line="240" w:lineRule="exact"/>
              <w:rPr>
                <w:rFonts w:ascii="黑体" w:hAnsi="黑体" w:eastAsia="黑体"/>
                <w:sz w:val="18"/>
                <w:szCs w:val="18"/>
              </w:rPr>
            </w:pPr>
            <w:r>
              <w:rPr>
                <w:rFonts w:hint="eastAsia" w:ascii="黑体" w:hAnsi="黑体" w:eastAsia="黑体"/>
                <w:sz w:val="18"/>
                <w:szCs w:val="18"/>
              </w:rPr>
              <w:t xml:space="preserve">货币政策（利率）、汇率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0" w:hRule="atLeast"/>
          <w:jc w:val="center"/>
        </w:trPr>
        <w:tc>
          <w:tcPr>
            <w:tcW w:w="509" w:type="dxa"/>
            <w:vMerge w:val="continue"/>
            <w:tcBorders>
              <w:top w:val="single" w:color="4A7EBB" w:sz="6" w:space="0"/>
              <w:left w:val="single" w:color="4A7EBB" w:sz="6" w:space="0"/>
              <w:bottom w:val="single" w:color="4A7EBB" w:sz="6" w:space="0"/>
              <w:right w:val="single" w:color="4A7EBB" w:sz="6" w:space="0"/>
            </w:tcBorders>
            <w:vAlign w:val="center"/>
          </w:tcPr>
          <w:p>
            <w:pPr>
              <w:spacing w:line="240" w:lineRule="exact"/>
              <w:jc w:val="center"/>
              <w:rPr>
                <w:rFonts w:ascii="黑体" w:hAnsi="黑体" w:eastAsia="黑体"/>
                <w:sz w:val="18"/>
                <w:szCs w:val="18"/>
              </w:rPr>
            </w:pPr>
          </w:p>
        </w:tc>
        <w:tc>
          <w:tcPr>
            <w:tcW w:w="851" w:type="dxa"/>
            <w:vMerge w:val="continue"/>
            <w:tcBorders>
              <w:top w:val="single" w:color="4A7EBB" w:sz="6" w:space="0"/>
              <w:left w:val="single" w:color="4A7EBB" w:sz="6" w:space="0"/>
              <w:bottom w:val="single" w:color="4A7EBB" w:sz="6" w:space="0"/>
              <w:right w:val="single" w:color="4A7EBB" w:sz="6" w:space="0"/>
            </w:tcBorders>
            <w:vAlign w:val="center"/>
          </w:tcPr>
          <w:p>
            <w:pPr>
              <w:spacing w:line="240" w:lineRule="exact"/>
              <w:jc w:val="center"/>
              <w:rPr>
                <w:rFonts w:ascii="黑体" w:hAnsi="黑体" w:eastAsia="黑体"/>
                <w:sz w:val="18"/>
                <w:szCs w:val="18"/>
              </w:rPr>
            </w:pPr>
          </w:p>
        </w:tc>
        <w:tc>
          <w:tcPr>
            <w:tcW w:w="1207" w:type="dxa"/>
            <w:vMerge w:val="continue"/>
            <w:tcBorders>
              <w:top w:val="single" w:color="4A7EBB" w:sz="6" w:space="0"/>
              <w:left w:val="single" w:color="4A7EBB" w:sz="6" w:space="0"/>
              <w:bottom w:val="single" w:color="4A7EBB" w:sz="6" w:space="0"/>
              <w:right w:val="single" w:color="4A7EBB" w:sz="6" w:space="0"/>
            </w:tcBorders>
            <w:vAlign w:val="center"/>
          </w:tcPr>
          <w:p>
            <w:pPr>
              <w:spacing w:line="240" w:lineRule="exact"/>
              <w:rPr>
                <w:rFonts w:ascii="黑体" w:hAnsi="黑体" w:eastAsia="黑体"/>
                <w:sz w:val="18"/>
                <w:szCs w:val="18"/>
              </w:rPr>
            </w:pPr>
          </w:p>
        </w:tc>
        <w:tc>
          <w:tcPr>
            <w:tcW w:w="1821" w:type="dxa"/>
            <w:vMerge w:val="continue"/>
            <w:tcBorders>
              <w:top w:val="single" w:color="4A7EBB" w:sz="6" w:space="0"/>
              <w:left w:val="single" w:color="4A7EBB" w:sz="6" w:space="0"/>
              <w:bottom w:val="single" w:color="4A7EBB" w:sz="6" w:space="0"/>
              <w:right w:val="single" w:color="4A7EBB" w:sz="6" w:space="0"/>
            </w:tcBorders>
            <w:vAlign w:val="center"/>
          </w:tcPr>
          <w:p>
            <w:pPr>
              <w:spacing w:line="240" w:lineRule="exact"/>
              <w:rPr>
                <w:rFonts w:ascii="黑体" w:hAnsi="黑体" w:eastAsia="黑体"/>
                <w:sz w:val="18"/>
                <w:szCs w:val="18"/>
              </w:rPr>
            </w:pPr>
          </w:p>
        </w:tc>
        <w:tc>
          <w:tcPr>
            <w:tcW w:w="404" w:type="dxa"/>
            <w:tcBorders>
              <w:top w:val="single" w:color="4A7EBB" w:sz="6" w:space="0"/>
              <w:left w:val="single" w:color="4A7EBB" w:sz="6" w:space="0"/>
              <w:bottom w:val="single" w:color="4A7EBB" w:sz="6" w:space="0"/>
              <w:right w:val="single" w:color="4A7EBB" w:sz="6" w:space="0"/>
            </w:tcBorders>
            <w:tcMar>
              <w:top w:w="15" w:type="dxa"/>
              <w:left w:w="71" w:type="dxa"/>
              <w:bottom w:w="0" w:type="dxa"/>
              <w:right w:w="71" w:type="dxa"/>
            </w:tcMar>
            <w:vAlign w:val="center"/>
          </w:tcPr>
          <w:p>
            <w:pPr>
              <w:spacing w:line="240" w:lineRule="exact"/>
              <w:rPr>
                <w:rFonts w:ascii="黑体" w:hAnsi="黑体" w:eastAsia="黑体"/>
                <w:sz w:val="18"/>
                <w:szCs w:val="18"/>
              </w:rPr>
            </w:pPr>
            <w:r>
              <w:rPr>
                <w:rFonts w:hint="eastAsia" w:ascii="黑体" w:hAnsi="黑体" w:eastAsia="黑体"/>
                <w:sz w:val="18"/>
                <w:szCs w:val="18"/>
              </w:rPr>
              <w:t xml:space="preserve">3 </w:t>
            </w:r>
          </w:p>
        </w:tc>
        <w:tc>
          <w:tcPr>
            <w:tcW w:w="3428" w:type="dxa"/>
            <w:tcBorders>
              <w:top w:val="single" w:color="4A7EBB" w:sz="6" w:space="0"/>
              <w:left w:val="single" w:color="4A7EBB" w:sz="6" w:space="0"/>
              <w:bottom w:val="single" w:color="4A7EBB" w:sz="6" w:space="0"/>
              <w:right w:val="single" w:color="4A7EBB" w:sz="6" w:space="0"/>
            </w:tcBorders>
            <w:tcMar>
              <w:top w:w="15" w:type="dxa"/>
              <w:left w:w="71" w:type="dxa"/>
              <w:bottom w:w="0" w:type="dxa"/>
              <w:right w:w="71" w:type="dxa"/>
            </w:tcMar>
            <w:vAlign w:val="center"/>
          </w:tcPr>
          <w:p>
            <w:pPr>
              <w:spacing w:line="240" w:lineRule="exact"/>
              <w:rPr>
                <w:rFonts w:ascii="黑体" w:hAnsi="黑体" w:eastAsia="黑体"/>
                <w:sz w:val="18"/>
                <w:szCs w:val="18"/>
              </w:rPr>
            </w:pPr>
            <w:r>
              <w:rPr>
                <w:rFonts w:hint="eastAsia" w:ascii="黑体" w:hAnsi="黑体" w:eastAsia="黑体"/>
                <w:sz w:val="18"/>
                <w:szCs w:val="18"/>
              </w:rPr>
              <w:t xml:space="preserve">财政政策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0" w:hRule="atLeast"/>
          <w:jc w:val="center"/>
        </w:trPr>
        <w:tc>
          <w:tcPr>
            <w:tcW w:w="509" w:type="dxa"/>
            <w:vMerge w:val="restart"/>
            <w:tcBorders>
              <w:top w:val="single" w:color="4A7EBB" w:sz="6" w:space="0"/>
              <w:left w:val="single" w:color="4A7EBB" w:sz="6" w:space="0"/>
              <w:bottom w:val="single" w:color="4A7EBB" w:sz="6" w:space="0"/>
              <w:right w:val="single" w:color="4A7EBB" w:sz="6" w:space="0"/>
            </w:tcBorders>
            <w:tcMar>
              <w:top w:w="15" w:type="dxa"/>
              <w:left w:w="71" w:type="dxa"/>
              <w:bottom w:w="0" w:type="dxa"/>
              <w:right w:w="71" w:type="dxa"/>
            </w:tcMar>
            <w:vAlign w:val="center"/>
          </w:tcPr>
          <w:p>
            <w:pPr>
              <w:spacing w:line="240" w:lineRule="exact"/>
              <w:jc w:val="center"/>
              <w:rPr>
                <w:rFonts w:ascii="黑体" w:hAnsi="黑体" w:eastAsia="黑体"/>
                <w:sz w:val="18"/>
                <w:szCs w:val="18"/>
              </w:rPr>
            </w:pPr>
            <w:r>
              <w:rPr>
                <w:rFonts w:hint="eastAsia" w:ascii="黑体" w:hAnsi="黑体" w:eastAsia="黑体"/>
                <w:sz w:val="18"/>
                <w:szCs w:val="18"/>
              </w:rPr>
              <w:t>B类</w:t>
            </w:r>
          </w:p>
        </w:tc>
        <w:tc>
          <w:tcPr>
            <w:tcW w:w="851" w:type="dxa"/>
            <w:vMerge w:val="restart"/>
            <w:tcBorders>
              <w:top w:val="single" w:color="4A7EBB" w:sz="6" w:space="0"/>
              <w:left w:val="single" w:color="4A7EBB" w:sz="6" w:space="0"/>
              <w:bottom w:val="single" w:color="4A7EBB" w:sz="6" w:space="0"/>
              <w:right w:val="single" w:color="4A7EBB" w:sz="6" w:space="0"/>
            </w:tcBorders>
            <w:tcMar>
              <w:top w:w="15" w:type="dxa"/>
              <w:left w:w="71" w:type="dxa"/>
              <w:bottom w:w="0" w:type="dxa"/>
              <w:right w:w="71" w:type="dxa"/>
            </w:tcMar>
            <w:vAlign w:val="center"/>
          </w:tcPr>
          <w:p>
            <w:pPr>
              <w:spacing w:line="240" w:lineRule="exact"/>
              <w:jc w:val="center"/>
              <w:rPr>
                <w:rFonts w:ascii="黑体" w:hAnsi="黑体" w:eastAsia="黑体"/>
                <w:sz w:val="18"/>
                <w:szCs w:val="18"/>
              </w:rPr>
            </w:pPr>
            <w:r>
              <w:rPr>
                <w:rFonts w:hint="eastAsia" w:ascii="黑体" w:hAnsi="黑体" w:eastAsia="黑体"/>
                <w:sz w:val="18"/>
                <w:szCs w:val="18"/>
              </w:rPr>
              <w:t>中观</w:t>
            </w:r>
          </w:p>
          <w:p>
            <w:pPr>
              <w:spacing w:line="240" w:lineRule="exact"/>
              <w:jc w:val="center"/>
              <w:rPr>
                <w:rFonts w:ascii="黑体" w:hAnsi="黑体" w:eastAsia="黑体"/>
                <w:sz w:val="18"/>
                <w:szCs w:val="18"/>
              </w:rPr>
            </w:pPr>
            <w:r>
              <w:rPr>
                <w:rFonts w:hint="eastAsia" w:ascii="黑体" w:hAnsi="黑体" w:eastAsia="黑体"/>
                <w:sz w:val="18"/>
                <w:szCs w:val="18"/>
              </w:rPr>
              <w:t>（行业）</w:t>
            </w:r>
          </w:p>
        </w:tc>
        <w:tc>
          <w:tcPr>
            <w:tcW w:w="1207" w:type="dxa"/>
            <w:vMerge w:val="restart"/>
            <w:tcBorders>
              <w:top w:val="single" w:color="4A7EBB" w:sz="6" w:space="0"/>
              <w:left w:val="single" w:color="4A7EBB" w:sz="6" w:space="0"/>
              <w:bottom w:val="single" w:color="4A7EBB" w:sz="6" w:space="0"/>
              <w:right w:val="single" w:color="4A7EBB" w:sz="6" w:space="0"/>
            </w:tcBorders>
            <w:tcMar>
              <w:top w:w="15" w:type="dxa"/>
              <w:left w:w="71" w:type="dxa"/>
              <w:bottom w:w="0" w:type="dxa"/>
              <w:right w:w="71" w:type="dxa"/>
            </w:tcMar>
            <w:vAlign w:val="center"/>
          </w:tcPr>
          <w:p>
            <w:pPr>
              <w:spacing w:line="240" w:lineRule="exact"/>
              <w:rPr>
                <w:rFonts w:ascii="黑体" w:hAnsi="黑体" w:eastAsia="黑体"/>
                <w:sz w:val="18"/>
                <w:szCs w:val="18"/>
              </w:rPr>
            </w:pPr>
            <w:r>
              <w:rPr>
                <w:rFonts w:hint="eastAsia" w:ascii="黑体" w:hAnsi="黑体" w:eastAsia="黑体"/>
                <w:sz w:val="18"/>
                <w:szCs w:val="18"/>
              </w:rPr>
              <w:t xml:space="preserve">针对同一行业（或地区）的所有企业 </w:t>
            </w:r>
          </w:p>
        </w:tc>
        <w:tc>
          <w:tcPr>
            <w:tcW w:w="1821" w:type="dxa"/>
            <w:vMerge w:val="restart"/>
            <w:tcBorders>
              <w:top w:val="single" w:color="4A7EBB" w:sz="6" w:space="0"/>
              <w:left w:val="single" w:color="4A7EBB" w:sz="6" w:space="0"/>
              <w:bottom w:val="single" w:color="4A7EBB" w:sz="6" w:space="0"/>
              <w:right w:val="single" w:color="4A7EBB" w:sz="6" w:space="0"/>
            </w:tcBorders>
            <w:tcMar>
              <w:top w:w="15" w:type="dxa"/>
              <w:left w:w="71" w:type="dxa"/>
              <w:bottom w:w="0" w:type="dxa"/>
              <w:right w:w="71" w:type="dxa"/>
            </w:tcMar>
            <w:vAlign w:val="center"/>
          </w:tcPr>
          <w:p>
            <w:pPr>
              <w:spacing w:line="240" w:lineRule="exact"/>
              <w:rPr>
                <w:rFonts w:ascii="黑体" w:hAnsi="黑体" w:eastAsia="黑体"/>
                <w:sz w:val="18"/>
                <w:szCs w:val="18"/>
              </w:rPr>
            </w:pPr>
            <w:r>
              <w:rPr>
                <w:rFonts w:hint="eastAsia" w:ascii="黑体" w:hAnsi="黑体" w:eastAsia="黑体"/>
                <w:sz w:val="18"/>
                <w:szCs w:val="18"/>
              </w:rPr>
              <w:t xml:space="preserve">同一行业或地区时，属于一般性假设；不同行业或地区（跨国）属于针对性假设 </w:t>
            </w:r>
          </w:p>
        </w:tc>
        <w:tc>
          <w:tcPr>
            <w:tcW w:w="404" w:type="dxa"/>
            <w:tcBorders>
              <w:top w:val="single" w:color="4A7EBB" w:sz="6" w:space="0"/>
              <w:left w:val="single" w:color="4A7EBB" w:sz="6" w:space="0"/>
              <w:bottom w:val="single" w:color="4A7EBB" w:sz="6" w:space="0"/>
              <w:right w:val="single" w:color="4A7EBB" w:sz="6" w:space="0"/>
            </w:tcBorders>
            <w:tcMar>
              <w:top w:w="15" w:type="dxa"/>
              <w:left w:w="71" w:type="dxa"/>
              <w:bottom w:w="0" w:type="dxa"/>
              <w:right w:w="71" w:type="dxa"/>
            </w:tcMar>
            <w:vAlign w:val="center"/>
          </w:tcPr>
          <w:p>
            <w:pPr>
              <w:spacing w:line="240" w:lineRule="exact"/>
              <w:rPr>
                <w:rFonts w:ascii="黑体" w:hAnsi="黑体" w:eastAsia="黑体"/>
                <w:sz w:val="18"/>
                <w:szCs w:val="18"/>
              </w:rPr>
            </w:pPr>
            <w:r>
              <w:rPr>
                <w:rFonts w:hint="eastAsia" w:ascii="黑体" w:hAnsi="黑体" w:eastAsia="黑体"/>
                <w:sz w:val="18"/>
                <w:szCs w:val="18"/>
              </w:rPr>
              <w:t xml:space="preserve">1 </w:t>
            </w:r>
          </w:p>
        </w:tc>
        <w:tc>
          <w:tcPr>
            <w:tcW w:w="3428" w:type="dxa"/>
            <w:tcBorders>
              <w:top w:val="single" w:color="4A7EBB" w:sz="6" w:space="0"/>
              <w:left w:val="single" w:color="4A7EBB" w:sz="6" w:space="0"/>
              <w:bottom w:val="single" w:color="4A7EBB" w:sz="6" w:space="0"/>
              <w:right w:val="single" w:color="4A7EBB" w:sz="6" w:space="0"/>
            </w:tcBorders>
            <w:tcMar>
              <w:top w:w="15" w:type="dxa"/>
              <w:left w:w="71" w:type="dxa"/>
              <w:bottom w:w="0" w:type="dxa"/>
              <w:right w:w="71" w:type="dxa"/>
            </w:tcMar>
            <w:vAlign w:val="center"/>
          </w:tcPr>
          <w:p>
            <w:pPr>
              <w:spacing w:line="240" w:lineRule="exact"/>
              <w:rPr>
                <w:rFonts w:ascii="黑体" w:hAnsi="黑体" w:eastAsia="黑体"/>
                <w:sz w:val="18"/>
                <w:szCs w:val="18"/>
              </w:rPr>
            </w:pPr>
            <w:r>
              <w:rPr>
                <w:rFonts w:hint="eastAsia" w:ascii="黑体" w:hAnsi="黑体" w:eastAsia="黑体"/>
                <w:sz w:val="18"/>
                <w:szCs w:val="18"/>
              </w:rPr>
              <w:t xml:space="preserve">产业政策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0" w:hRule="atLeast"/>
          <w:jc w:val="center"/>
        </w:trPr>
        <w:tc>
          <w:tcPr>
            <w:tcW w:w="509" w:type="dxa"/>
            <w:vMerge w:val="continue"/>
            <w:tcBorders>
              <w:top w:val="single" w:color="4A7EBB" w:sz="6" w:space="0"/>
              <w:left w:val="single" w:color="4A7EBB" w:sz="6" w:space="0"/>
              <w:bottom w:val="single" w:color="4A7EBB" w:sz="6" w:space="0"/>
              <w:right w:val="single" w:color="4A7EBB" w:sz="6" w:space="0"/>
            </w:tcBorders>
            <w:vAlign w:val="center"/>
          </w:tcPr>
          <w:p>
            <w:pPr>
              <w:spacing w:line="240" w:lineRule="exact"/>
              <w:jc w:val="center"/>
              <w:rPr>
                <w:rFonts w:ascii="黑体" w:hAnsi="黑体" w:eastAsia="黑体"/>
                <w:sz w:val="18"/>
                <w:szCs w:val="18"/>
              </w:rPr>
            </w:pPr>
          </w:p>
        </w:tc>
        <w:tc>
          <w:tcPr>
            <w:tcW w:w="851" w:type="dxa"/>
            <w:vMerge w:val="continue"/>
            <w:tcBorders>
              <w:top w:val="single" w:color="4A7EBB" w:sz="6" w:space="0"/>
              <w:left w:val="single" w:color="4A7EBB" w:sz="6" w:space="0"/>
              <w:bottom w:val="single" w:color="4A7EBB" w:sz="6" w:space="0"/>
              <w:right w:val="single" w:color="4A7EBB" w:sz="6" w:space="0"/>
            </w:tcBorders>
            <w:vAlign w:val="center"/>
          </w:tcPr>
          <w:p>
            <w:pPr>
              <w:spacing w:line="240" w:lineRule="exact"/>
              <w:jc w:val="center"/>
              <w:rPr>
                <w:rFonts w:ascii="黑体" w:hAnsi="黑体" w:eastAsia="黑体"/>
                <w:sz w:val="18"/>
                <w:szCs w:val="18"/>
              </w:rPr>
            </w:pPr>
          </w:p>
        </w:tc>
        <w:tc>
          <w:tcPr>
            <w:tcW w:w="1207" w:type="dxa"/>
            <w:vMerge w:val="continue"/>
            <w:tcBorders>
              <w:top w:val="single" w:color="4A7EBB" w:sz="6" w:space="0"/>
              <w:left w:val="single" w:color="4A7EBB" w:sz="6" w:space="0"/>
              <w:bottom w:val="single" w:color="4A7EBB" w:sz="6" w:space="0"/>
              <w:right w:val="single" w:color="4A7EBB" w:sz="6" w:space="0"/>
            </w:tcBorders>
            <w:vAlign w:val="center"/>
          </w:tcPr>
          <w:p>
            <w:pPr>
              <w:spacing w:line="240" w:lineRule="exact"/>
              <w:rPr>
                <w:rFonts w:ascii="黑体" w:hAnsi="黑体" w:eastAsia="黑体"/>
                <w:sz w:val="18"/>
                <w:szCs w:val="18"/>
              </w:rPr>
            </w:pPr>
          </w:p>
        </w:tc>
        <w:tc>
          <w:tcPr>
            <w:tcW w:w="1821" w:type="dxa"/>
            <w:vMerge w:val="continue"/>
            <w:tcBorders>
              <w:top w:val="single" w:color="4A7EBB" w:sz="6" w:space="0"/>
              <w:left w:val="single" w:color="4A7EBB" w:sz="6" w:space="0"/>
              <w:bottom w:val="single" w:color="4A7EBB" w:sz="6" w:space="0"/>
              <w:right w:val="single" w:color="4A7EBB" w:sz="6" w:space="0"/>
            </w:tcBorders>
            <w:vAlign w:val="center"/>
          </w:tcPr>
          <w:p>
            <w:pPr>
              <w:spacing w:line="240" w:lineRule="exact"/>
              <w:rPr>
                <w:rFonts w:ascii="黑体" w:hAnsi="黑体" w:eastAsia="黑体"/>
                <w:sz w:val="18"/>
                <w:szCs w:val="18"/>
              </w:rPr>
            </w:pPr>
          </w:p>
        </w:tc>
        <w:tc>
          <w:tcPr>
            <w:tcW w:w="404" w:type="dxa"/>
            <w:tcBorders>
              <w:top w:val="single" w:color="4A7EBB" w:sz="6" w:space="0"/>
              <w:left w:val="single" w:color="4A7EBB" w:sz="6" w:space="0"/>
              <w:bottom w:val="single" w:color="4A7EBB" w:sz="6" w:space="0"/>
              <w:right w:val="single" w:color="4A7EBB" w:sz="6" w:space="0"/>
            </w:tcBorders>
            <w:tcMar>
              <w:top w:w="15" w:type="dxa"/>
              <w:left w:w="71" w:type="dxa"/>
              <w:bottom w:w="0" w:type="dxa"/>
              <w:right w:w="71" w:type="dxa"/>
            </w:tcMar>
            <w:vAlign w:val="center"/>
          </w:tcPr>
          <w:p>
            <w:pPr>
              <w:spacing w:line="240" w:lineRule="exact"/>
              <w:rPr>
                <w:rFonts w:ascii="黑体" w:hAnsi="黑体" w:eastAsia="黑体"/>
                <w:sz w:val="18"/>
                <w:szCs w:val="18"/>
              </w:rPr>
            </w:pPr>
            <w:r>
              <w:rPr>
                <w:rFonts w:hint="eastAsia" w:ascii="黑体" w:hAnsi="黑体" w:eastAsia="黑体"/>
                <w:sz w:val="18"/>
                <w:szCs w:val="18"/>
              </w:rPr>
              <w:t xml:space="preserve">2 </w:t>
            </w:r>
          </w:p>
        </w:tc>
        <w:tc>
          <w:tcPr>
            <w:tcW w:w="3428" w:type="dxa"/>
            <w:tcBorders>
              <w:top w:val="single" w:color="4A7EBB" w:sz="6" w:space="0"/>
              <w:left w:val="single" w:color="4A7EBB" w:sz="6" w:space="0"/>
              <w:bottom w:val="single" w:color="4A7EBB" w:sz="6" w:space="0"/>
              <w:right w:val="single" w:color="4A7EBB" w:sz="6" w:space="0"/>
            </w:tcBorders>
            <w:tcMar>
              <w:top w:w="15" w:type="dxa"/>
              <w:left w:w="71" w:type="dxa"/>
              <w:bottom w:w="0" w:type="dxa"/>
              <w:right w:w="71" w:type="dxa"/>
            </w:tcMar>
            <w:vAlign w:val="center"/>
          </w:tcPr>
          <w:p>
            <w:pPr>
              <w:spacing w:line="240" w:lineRule="exact"/>
              <w:rPr>
                <w:rFonts w:ascii="黑体" w:hAnsi="黑体" w:eastAsia="黑体"/>
                <w:sz w:val="18"/>
                <w:szCs w:val="18"/>
              </w:rPr>
            </w:pPr>
            <w:r>
              <w:rPr>
                <w:rFonts w:hint="eastAsia" w:ascii="黑体" w:hAnsi="黑体" w:eastAsia="黑体"/>
                <w:sz w:val="18"/>
                <w:szCs w:val="18"/>
              </w:rPr>
              <w:t xml:space="preserve">行业准入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0" w:hRule="atLeast"/>
          <w:jc w:val="center"/>
        </w:trPr>
        <w:tc>
          <w:tcPr>
            <w:tcW w:w="509" w:type="dxa"/>
            <w:vMerge w:val="continue"/>
            <w:tcBorders>
              <w:top w:val="single" w:color="4A7EBB" w:sz="6" w:space="0"/>
              <w:left w:val="single" w:color="4A7EBB" w:sz="6" w:space="0"/>
              <w:bottom w:val="single" w:color="4A7EBB" w:sz="6" w:space="0"/>
              <w:right w:val="single" w:color="4A7EBB" w:sz="6" w:space="0"/>
            </w:tcBorders>
            <w:vAlign w:val="center"/>
          </w:tcPr>
          <w:p>
            <w:pPr>
              <w:spacing w:line="240" w:lineRule="exact"/>
              <w:jc w:val="center"/>
              <w:rPr>
                <w:rFonts w:ascii="黑体" w:hAnsi="黑体" w:eastAsia="黑体"/>
                <w:sz w:val="18"/>
                <w:szCs w:val="18"/>
              </w:rPr>
            </w:pPr>
          </w:p>
        </w:tc>
        <w:tc>
          <w:tcPr>
            <w:tcW w:w="851" w:type="dxa"/>
            <w:vMerge w:val="continue"/>
            <w:tcBorders>
              <w:top w:val="single" w:color="4A7EBB" w:sz="6" w:space="0"/>
              <w:left w:val="single" w:color="4A7EBB" w:sz="6" w:space="0"/>
              <w:bottom w:val="single" w:color="4A7EBB" w:sz="6" w:space="0"/>
              <w:right w:val="single" w:color="4A7EBB" w:sz="6" w:space="0"/>
            </w:tcBorders>
            <w:vAlign w:val="center"/>
          </w:tcPr>
          <w:p>
            <w:pPr>
              <w:spacing w:line="240" w:lineRule="exact"/>
              <w:jc w:val="center"/>
              <w:rPr>
                <w:rFonts w:ascii="黑体" w:hAnsi="黑体" w:eastAsia="黑体"/>
                <w:sz w:val="18"/>
                <w:szCs w:val="18"/>
              </w:rPr>
            </w:pPr>
          </w:p>
        </w:tc>
        <w:tc>
          <w:tcPr>
            <w:tcW w:w="1207" w:type="dxa"/>
            <w:vMerge w:val="continue"/>
            <w:tcBorders>
              <w:top w:val="single" w:color="4A7EBB" w:sz="6" w:space="0"/>
              <w:left w:val="single" w:color="4A7EBB" w:sz="6" w:space="0"/>
              <w:bottom w:val="single" w:color="4A7EBB" w:sz="6" w:space="0"/>
              <w:right w:val="single" w:color="4A7EBB" w:sz="6" w:space="0"/>
            </w:tcBorders>
            <w:vAlign w:val="center"/>
          </w:tcPr>
          <w:p>
            <w:pPr>
              <w:spacing w:line="240" w:lineRule="exact"/>
              <w:rPr>
                <w:rFonts w:ascii="黑体" w:hAnsi="黑体" w:eastAsia="黑体"/>
                <w:sz w:val="18"/>
                <w:szCs w:val="18"/>
              </w:rPr>
            </w:pPr>
          </w:p>
        </w:tc>
        <w:tc>
          <w:tcPr>
            <w:tcW w:w="1821" w:type="dxa"/>
            <w:vMerge w:val="continue"/>
            <w:tcBorders>
              <w:top w:val="single" w:color="4A7EBB" w:sz="6" w:space="0"/>
              <w:left w:val="single" w:color="4A7EBB" w:sz="6" w:space="0"/>
              <w:bottom w:val="single" w:color="4A7EBB" w:sz="6" w:space="0"/>
              <w:right w:val="single" w:color="4A7EBB" w:sz="6" w:space="0"/>
            </w:tcBorders>
            <w:vAlign w:val="center"/>
          </w:tcPr>
          <w:p>
            <w:pPr>
              <w:spacing w:line="240" w:lineRule="exact"/>
              <w:rPr>
                <w:rFonts w:ascii="黑体" w:hAnsi="黑体" w:eastAsia="黑体"/>
                <w:sz w:val="18"/>
                <w:szCs w:val="18"/>
              </w:rPr>
            </w:pPr>
          </w:p>
        </w:tc>
        <w:tc>
          <w:tcPr>
            <w:tcW w:w="404" w:type="dxa"/>
            <w:tcBorders>
              <w:top w:val="single" w:color="4A7EBB" w:sz="6" w:space="0"/>
              <w:left w:val="single" w:color="4A7EBB" w:sz="6" w:space="0"/>
              <w:bottom w:val="single" w:color="4A7EBB" w:sz="6" w:space="0"/>
              <w:right w:val="single" w:color="4A7EBB" w:sz="6" w:space="0"/>
            </w:tcBorders>
            <w:tcMar>
              <w:top w:w="15" w:type="dxa"/>
              <w:left w:w="71" w:type="dxa"/>
              <w:bottom w:w="0" w:type="dxa"/>
              <w:right w:w="71" w:type="dxa"/>
            </w:tcMar>
            <w:vAlign w:val="center"/>
          </w:tcPr>
          <w:p>
            <w:pPr>
              <w:spacing w:line="240" w:lineRule="exact"/>
              <w:rPr>
                <w:rFonts w:ascii="黑体" w:hAnsi="黑体" w:eastAsia="黑体"/>
                <w:sz w:val="18"/>
                <w:szCs w:val="18"/>
              </w:rPr>
            </w:pPr>
            <w:r>
              <w:rPr>
                <w:rFonts w:hint="eastAsia" w:ascii="黑体" w:hAnsi="黑体" w:eastAsia="黑体"/>
                <w:sz w:val="18"/>
                <w:szCs w:val="18"/>
              </w:rPr>
              <w:t xml:space="preserve">3 </w:t>
            </w:r>
          </w:p>
        </w:tc>
        <w:tc>
          <w:tcPr>
            <w:tcW w:w="3428" w:type="dxa"/>
            <w:tcBorders>
              <w:top w:val="single" w:color="4A7EBB" w:sz="6" w:space="0"/>
              <w:left w:val="single" w:color="4A7EBB" w:sz="6" w:space="0"/>
              <w:bottom w:val="single" w:color="4A7EBB" w:sz="6" w:space="0"/>
              <w:right w:val="single" w:color="4A7EBB" w:sz="6" w:space="0"/>
            </w:tcBorders>
            <w:tcMar>
              <w:top w:w="15" w:type="dxa"/>
              <w:left w:w="71" w:type="dxa"/>
              <w:bottom w:w="0" w:type="dxa"/>
              <w:right w:w="71" w:type="dxa"/>
            </w:tcMar>
            <w:vAlign w:val="center"/>
          </w:tcPr>
          <w:p>
            <w:pPr>
              <w:spacing w:line="240" w:lineRule="exact"/>
              <w:rPr>
                <w:rFonts w:ascii="黑体" w:hAnsi="黑体" w:eastAsia="黑体"/>
                <w:sz w:val="18"/>
                <w:szCs w:val="18"/>
              </w:rPr>
            </w:pPr>
            <w:r>
              <w:rPr>
                <w:rFonts w:hint="eastAsia" w:ascii="黑体" w:hAnsi="黑体" w:eastAsia="黑体"/>
                <w:sz w:val="18"/>
                <w:szCs w:val="18"/>
              </w:rPr>
              <w:t xml:space="preserve">差别利率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0" w:hRule="atLeast"/>
          <w:jc w:val="center"/>
        </w:trPr>
        <w:tc>
          <w:tcPr>
            <w:tcW w:w="509" w:type="dxa"/>
            <w:vMerge w:val="continue"/>
            <w:tcBorders>
              <w:top w:val="single" w:color="4A7EBB" w:sz="6" w:space="0"/>
              <w:left w:val="single" w:color="4A7EBB" w:sz="6" w:space="0"/>
              <w:bottom w:val="single" w:color="4A7EBB" w:sz="6" w:space="0"/>
              <w:right w:val="single" w:color="4A7EBB" w:sz="6" w:space="0"/>
            </w:tcBorders>
            <w:vAlign w:val="center"/>
          </w:tcPr>
          <w:p>
            <w:pPr>
              <w:spacing w:line="240" w:lineRule="exact"/>
              <w:jc w:val="center"/>
              <w:rPr>
                <w:rFonts w:ascii="黑体" w:hAnsi="黑体" w:eastAsia="黑体"/>
                <w:sz w:val="18"/>
                <w:szCs w:val="18"/>
              </w:rPr>
            </w:pPr>
          </w:p>
        </w:tc>
        <w:tc>
          <w:tcPr>
            <w:tcW w:w="851" w:type="dxa"/>
            <w:vMerge w:val="continue"/>
            <w:tcBorders>
              <w:top w:val="single" w:color="4A7EBB" w:sz="6" w:space="0"/>
              <w:left w:val="single" w:color="4A7EBB" w:sz="6" w:space="0"/>
              <w:bottom w:val="single" w:color="4A7EBB" w:sz="6" w:space="0"/>
              <w:right w:val="single" w:color="4A7EBB" w:sz="6" w:space="0"/>
            </w:tcBorders>
            <w:vAlign w:val="center"/>
          </w:tcPr>
          <w:p>
            <w:pPr>
              <w:spacing w:line="240" w:lineRule="exact"/>
              <w:jc w:val="center"/>
              <w:rPr>
                <w:rFonts w:ascii="黑体" w:hAnsi="黑体" w:eastAsia="黑体"/>
                <w:sz w:val="18"/>
                <w:szCs w:val="18"/>
              </w:rPr>
            </w:pPr>
          </w:p>
        </w:tc>
        <w:tc>
          <w:tcPr>
            <w:tcW w:w="1207" w:type="dxa"/>
            <w:vMerge w:val="continue"/>
            <w:tcBorders>
              <w:top w:val="single" w:color="4A7EBB" w:sz="6" w:space="0"/>
              <w:left w:val="single" w:color="4A7EBB" w:sz="6" w:space="0"/>
              <w:bottom w:val="single" w:color="4A7EBB" w:sz="6" w:space="0"/>
              <w:right w:val="single" w:color="4A7EBB" w:sz="6" w:space="0"/>
            </w:tcBorders>
            <w:vAlign w:val="center"/>
          </w:tcPr>
          <w:p>
            <w:pPr>
              <w:spacing w:line="240" w:lineRule="exact"/>
              <w:rPr>
                <w:rFonts w:ascii="黑体" w:hAnsi="黑体" w:eastAsia="黑体"/>
                <w:sz w:val="18"/>
                <w:szCs w:val="18"/>
              </w:rPr>
            </w:pPr>
          </w:p>
        </w:tc>
        <w:tc>
          <w:tcPr>
            <w:tcW w:w="1821" w:type="dxa"/>
            <w:vMerge w:val="continue"/>
            <w:tcBorders>
              <w:top w:val="single" w:color="4A7EBB" w:sz="6" w:space="0"/>
              <w:left w:val="single" w:color="4A7EBB" w:sz="6" w:space="0"/>
              <w:bottom w:val="single" w:color="4A7EBB" w:sz="6" w:space="0"/>
              <w:right w:val="single" w:color="4A7EBB" w:sz="6" w:space="0"/>
            </w:tcBorders>
            <w:vAlign w:val="center"/>
          </w:tcPr>
          <w:p>
            <w:pPr>
              <w:spacing w:line="240" w:lineRule="exact"/>
              <w:rPr>
                <w:rFonts w:ascii="黑体" w:hAnsi="黑体" w:eastAsia="黑体"/>
                <w:sz w:val="18"/>
                <w:szCs w:val="18"/>
              </w:rPr>
            </w:pPr>
          </w:p>
        </w:tc>
        <w:tc>
          <w:tcPr>
            <w:tcW w:w="404" w:type="dxa"/>
            <w:tcBorders>
              <w:top w:val="single" w:color="4A7EBB" w:sz="6" w:space="0"/>
              <w:left w:val="single" w:color="4A7EBB" w:sz="6" w:space="0"/>
              <w:bottom w:val="single" w:color="4A7EBB" w:sz="6" w:space="0"/>
              <w:right w:val="single" w:color="4A7EBB" w:sz="6" w:space="0"/>
            </w:tcBorders>
            <w:tcMar>
              <w:top w:w="15" w:type="dxa"/>
              <w:left w:w="71" w:type="dxa"/>
              <w:bottom w:w="0" w:type="dxa"/>
              <w:right w:w="71" w:type="dxa"/>
            </w:tcMar>
            <w:vAlign w:val="center"/>
          </w:tcPr>
          <w:p>
            <w:pPr>
              <w:spacing w:line="240" w:lineRule="exact"/>
              <w:rPr>
                <w:rFonts w:ascii="黑体" w:hAnsi="黑体" w:eastAsia="黑体"/>
                <w:sz w:val="18"/>
                <w:szCs w:val="18"/>
              </w:rPr>
            </w:pPr>
            <w:r>
              <w:rPr>
                <w:rFonts w:hint="eastAsia" w:ascii="黑体" w:hAnsi="黑体" w:eastAsia="黑体"/>
                <w:sz w:val="18"/>
                <w:szCs w:val="18"/>
              </w:rPr>
              <w:t xml:space="preserve">4 </w:t>
            </w:r>
          </w:p>
        </w:tc>
        <w:tc>
          <w:tcPr>
            <w:tcW w:w="3428" w:type="dxa"/>
            <w:tcBorders>
              <w:top w:val="single" w:color="4A7EBB" w:sz="6" w:space="0"/>
              <w:left w:val="single" w:color="4A7EBB" w:sz="6" w:space="0"/>
              <w:bottom w:val="single" w:color="4A7EBB" w:sz="6" w:space="0"/>
              <w:right w:val="single" w:color="4A7EBB" w:sz="6" w:space="0"/>
            </w:tcBorders>
            <w:tcMar>
              <w:top w:w="15" w:type="dxa"/>
              <w:left w:w="71" w:type="dxa"/>
              <w:bottom w:w="0" w:type="dxa"/>
              <w:right w:w="71" w:type="dxa"/>
            </w:tcMar>
            <w:vAlign w:val="center"/>
          </w:tcPr>
          <w:p>
            <w:pPr>
              <w:spacing w:line="240" w:lineRule="exact"/>
              <w:rPr>
                <w:rFonts w:ascii="黑体" w:hAnsi="黑体" w:eastAsia="黑体"/>
                <w:sz w:val="18"/>
                <w:szCs w:val="18"/>
              </w:rPr>
            </w:pPr>
            <w:r>
              <w:rPr>
                <w:rFonts w:hint="eastAsia" w:ascii="黑体" w:hAnsi="黑体" w:eastAsia="黑体"/>
                <w:sz w:val="18"/>
                <w:szCs w:val="18"/>
              </w:rPr>
              <w:t xml:space="preserve">区域经济政策（新区、开发区、振兴区）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0" w:hRule="atLeast"/>
          <w:jc w:val="center"/>
        </w:trPr>
        <w:tc>
          <w:tcPr>
            <w:tcW w:w="509" w:type="dxa"/>
            <w:vMerge w:val="continue"/>
            <w:tcBorders>
              <w:top w:val="single" w:color="4A7EBB" w:sz="6" w:space="0"/>
              <w:left w:val="single" w:color="4A7EBB" w:sz="6" w:space="0"/>
              <w:bottom w:val="single" w:color="4A7EBB" w:sz="6" w:space="0"/>
              <w:right w:val="single" w:color="4A7EBB" w:sz="6" w:space="0"/>
            </w:tcBorders>
            <w:vAlign w:val="center"/>
          </w:tcPr>
          <w:p>
            <w:pPr>
              <w:spacing w:line="240" w:lineRule="exact"/>
              <w:jc w:val="center"/>
              <w:rPr>
                <w:rFonts w:ascii="黑体" w:hAnsi="黑体" w:eastAsia="黑体"/>
                <w:sz w:val="18"/>
                <w:szCs w:val="18"/>
              </w:rPr>
            </w:pPr>
          </w:p>
        </w:tc>
        <w:tc>
          <w:tcPr>
            <w:tcW w:w="851" w:type="dxa"/>
            <w:vMerge w:val="continue"/>
            <w:tcBorders>
              <w:top w:val="single" w:color="4A7EBB" w:sz="6" w:space="0"/>
              <w:left w:val="single" w:color="4A7EBB" w:sz="6" w:space="0"/>
              <w:bottom w:val="single" w:color="4A7EBB" w:sz="6" w:space="0"/>
              <w:right w:val="single" w:color="4A7EBB" w:sz="6" w:space="0"/>
            </w:tcBorders>
            <w:vAlign w:val="center"/>
          </w:tcPr>
          <w:p>
            <w:pPr>
              <w:spacing w:line="240" w:lineRule="exact"/>
              <w:jc w:val="center"/>
              <w:rPr>
                <w:rFonts w:ascii="黑体" w:hAnsi="黑体" w:eastAsia="黑体"/>
                <w:sz w:val="18"/>
                <w:szCs w:val="18"/>
              </w:rPr>
            </w:pPr>
          </w:p>
        </w:tc>
        <w:tc>
          <w:tcPr>
            <w:tcW w:w="1207" w:type="dxa"/>
            <w:vMerge w:val="continue"/>
            <w:tcBorders>
              <w:top w:val="single" w:color="4A7EBB" w:sz="6" w:space="0"/>
              <w:left w:val="single" w:color="4A7EBB" w:sz="6" w:space="0"/>
              <w:bottom w:val="single" w:color="4A7EBB" w:sz="6" w:space="0"/>
              <w:right w:val="single" w:color="4A7EBB" w:sz="6" w:space="0"/>
            </w:tcBorders>
            <w:vAlign w:val="center"/>
          </w:tcPr>
          <w:p>
            <w:pPr>
              <w:spacing w:line="240" w:lineRule="exact"/>
              <w:rPr>
                <w:rFonts w:ascii="黑体" w:hAnsi="黑体" w:eastAsia="黑体"/>
                <w:sz w:val="18"/>
                <w:szCs w:val="18"/>
              </w:rPr>
            </w:pPr>
          </w:p>
        </w:tc>
        <w:tc>
          <w:tcPr>
            <w:tcW w:w="1821" w:type="dxa"/>
            <w:vMerge w:val="continue"/>
            <w:tcBorders>
              <w:top w:val="single" w:color="4A7EBB" w:sz="6" w:space="0"/>
              <w:left w:val="single" w:color="4A7EBB" w:sz="6" w:space="0"/>
              <w:bottom w:val="single" w:color="4A7EBB" w:sz="6" w:space="0"/>
              <w:right w:val="single" w:color="4A7EBB" w:sz="6" w:space="0"/>
            </w:tcBorders>
            <w:vAlign w:val="center"/>
          </w:tcPr>
          <w:p>
            <w:pPr>
              <w:spacing w:line="240" w:lineRule="exact"/>
              <w:rPr>
                <w:rFonts w:ascii="黑体" w:hAnsi="黑体" w:eastAsia="黑体"/>
                <w:sz w:val="18"/>
                <w:szCs w:val="18"/>
              </w:rPr>
            </w:pPr>
          </w:p>
        </w:tc>
        <w:tc>
          <w:tcPr>
            <w:tcW w:w="404" w:type="dxa"/>
            <w:tcBorders>
              <w:top w:val="single" w:color="4A7EBB" w:sz="6" w:space="0"/>
              <w:left w:val="single" w:color="4A7EBB" w:sz="6" w:space="0"/>
              <w:bottom w:val="single" w:color="4A7EBB" w:sz="6" w:space="0"/>
              <w:right w:val="single" w:color="4A7EBB" w:sz="6" w:space="0"/>
            </w:tcBorders>
            <w:tcMar>
              <w:top w:w="15" w:type="dxa"/>
              <w:left w:w="71" w:type="dxa"/>
              <w:bottom w:w="0" w:type="dxa"/>
              <w:right w:w="71" w:type="dxa"/>
            </w:tcMar>
            <w:vAlign w:val="center"/>
          </w:tcPr>
          <w:p>
            <w:pPr>
              <w:spacing w:line="240" w:lineRule="exact"/>
              <w:rPr>
                <w:rFonts w:ascii="黑体" w:hAnsi="黑体" w:eastAsia="黑体"/>
                <w:sz w:val="18"/>
                <w:szCs w:val="18"/>
              </w:rPr>
            </w:pPr>
            <w:r>
              <w:rPr>
                <w:rFonts w:hint="eastAsia" w:ascii="黑体" w:hAnsi="黑体" w:eastAsia="黑体"/>
                <w:sz w:val="18"/>
                <w:szCs w:val="18"/>
              </w:rPr>
              <w:t xml:space="preserve">5 </w:t>
            </w:r>
          </w:p>
        </w:tc>
        <w:tc>
          <w:tcPr>
            <w:tcW w:w="3428" w:type="dxa"/>
            <w:tcBorders>
              <w:top w:val="single" w:color="4A7EBB" w:sz="6" w:space="0"/>
              <w:left w:val="single" w:color="4A7EBB" w:sz="6" w:space="0"/>
              <w:bottom w:val="single" w:color="4A7EBB" w:sz="6" w:space="0"/>
              <w:right w:val="single" w:color="4A7EBB" w:sz="6" w:space="0"/>
            </w:tcBorders>
            <w:tcMar>
              <w:top w:w="15" w:type="dxa"/>
              <w:left w:w="71" w:type="dxa"/>
              <w:bottom w:w="0" w:type="dxa"/>
              <w:right w:w="71" w:type="dxa"/>
            </w:tcMar>
            <w:vAlign w:val="center"/>
          </w:tcPr>
          <w:p>
            <w:pPr>
              <w:spacing w:line="240" w:lineRule="exact"/>
              <w:rPr>
                <w:rFonts w:ascii="黑体" w:hAnsi="黑体" w:eastAsia="黑体"/>
                <w:sz w:val="18"/>
                <w:szCs w:val="18"/>
              </w:rPr>
            </w:pPr>
            <w:r>
              <w:rPr>
                <w:rFonts w:hint="eastAsia" w:ascii="黑体" w:hAnsi="黑体" w:eastAsia="黑体"/>
                <w:sz w:val="18"/>
                <w:szCs w:val="18"/>
              </w:rPr>
              <w:t xml:space="preserve">环保、土地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0" w:hRule="atLeast"/>
          <w:jc w:val="center"/>
        </w:trPr>
        <w:tc>
          <w:tcPr>
            <w:tcW w:w="509" w:type="dxa"/>
            <w:vMerge w:val="restart"/>
            <w:tcBorders>
              <w:top w:val="single" w:color="4A7EBB" w:sz="6" w:space="0"/>
              <w:left w:val="single" w:color="4A7EBB" w:sz="6" w:space="0"/>
              <w:bottom w:val="single" w:color="000000" w:sz="8" w:space="0"/>
              <w:right w:val="single" w:color="4A7EBB" w:sz="6" w:space="0"/>
            </w:tcBorders>
            <w:tcMar>
              <w:top w:w="15" w:type="dxa"/>
              <w:left w:w="71" w:type="dxa"/>
              <w:bottom w:w="0" w:type="dxa"/>
              <w:right w:w="71" w:type="dxa"/>
            </w:tcMar>
            <w:vAlign w:val="center"/>
          </w:tcPr>
          <w:p>
            <w:pPr>
              <w:spacing w:line="240" w:lineRule="exact"/>
              <w:jc w:val="center"/>
              <w:rPr>
                <w:rFonts w:ascii="黑体" w:hAnsi="黑体" w:eastAsia="黑体"/>
                <w:sz w:val="18"/>
                <w:szCs w:val="18"/>
              </w:rPr>
            </w:pPr>
            <w:r>
              <w:rPr>
                <w:rFonts w:hint="eastAsia" w:ascii="黑体" w:hAnsi="黑体" w:eastAsia="黑体"/>
                <w:sz w:val="18"/>
                <w:szCs w:val="18"/>
              </w:rPr>
              <w:t>C类</w:t>
            </w:r>
          </w:p>
        </w:tc>
        <w:tc>
          <w:tcPr>
            <w:tcW w:w="851" w:type="dxa"/>
            <w:vMerge w:val="restart"/>
            <w:tcBorders>
              <w:top w:val="single" w:color="4A7EBB" w:sz="6" w:space="0"/>
              <w:left w:val="single" w:color="4A7EBB" w:sz="6" w:space="0"/>
              <w:bottom w:val="single" w:color="000000" w:sz="8" w:space="0"/>
              <w:right w:val="single" w:color="4A7EBB" w:sz="6" w:space="0"/>
            </w:tcBorders>
            <w:tcMar>
              <w:top w:w="15" w:type="dxa"/>
              <w:left w:w="71" w:type="dxa"/>
              <w:bottom w:w="0" w:type="dxa"/>
              <w:right w:w="71" w:type="dxa"/>
            </w:tcMar>
            <w:vAlign w:val="center"/>
          </w:tcPr>
          <w:p>
            <w:pPr>
              <w:spacing w:line="240" w:lineRule="exact"/>
              <w:jc w:val="center"/>
              <w:rPr>
                <w:rFonts w:ascii="黑体" w:hAnsi="黑体" w:eastAsia="黑体"/>
                <w:sz w:val="18"/>
                <w:szCs w:val="18"/>
              </w:rPr>
            </w:pPr>
            <w:r>
              <w:rPr>
                <w:rFonts w:hint="eastAsia" w:ascii="黑体" w:hAnsi="黑体" w:eastAsia="黑体"/>
                <w:sz w:val="18"/>
                <w:szCs w:val="18"/>
              </w:rPr>
              <w:t>企业</w:t>
            </w:r>
          </w:p>
        </w:tc>
        <w:tc>
          <w:tcPr>
            <w:tcW w:w="1207" w:type="dxa"/>
            <w:vMerge w:val="restart"/>
            <w:tcBorders>
              <w:top w:val="single" w:color="4A7EBB" w:sz="6" w:space="0"/>
              <w:left w:val="single" w:color="4A7EBB" w:sz="6" w:space="0"/>
              <w:bottom w:val="single" w:color="000000" w:sz="8" w:space="0"/>
              <w:right w:val="single" w:color="4A7EBB" w:sz="6" w:space="0"/>
            </w:tcBorders>
            <w:tcMar>
              <w:top w:w="15" w:type="dxa"/>
              <w:left w:w="71" w:type="dxa"/>
              <w:bottom w:w="0" w:type="dxa"/>
              <w:right w:w="71" w:type="dxa"/>
            </w:tcMar>
            <w:vAlign w:val="center"/>
          </w:tcPr>
          <w:p>
            <w:pPr>
              <w:spacing w:line="240" w:lineRule="exact"/>
              <w:rPr>
                <w:rFonts w:ascii="黑体" w:hAnsi="黑体" w:eastAsia="黑体"/>
                <w:sz w:val="18"/>
                <w:szCs w:val="18"/>
              </w:rPr>
            </w:pPr>
            <w:r>
              <w:rPr>
                <w:rFonts w:hint="eastAsia" w:ascii="黑体" w:hAnsi="黑体" w:eastAsia="黑体"/>
                <w:sz w:val="18"/>
                <w:szCs w:val="18"/>
              </w:rPr>
              <w:t xml:space="preserve">针对企业 </w:t>
            </w:r>
          </w:p>
        </w:tc>
        <w:tc>
          <w:tcPr>
            <w:tcW w:w="1821" w:type="dxa"/>
            <w:vMerge w:val="restart"/>
            <w:tcBorders>
              <w:top w:val="single" w:color="4A7EBB" w:sz="6" w:space="0"/>
              <w:left w:val="single" w:color="4A7EBB" w:sz="6" w:space="0"/>
              <w:bottom w:val="single" w:color="000000" w:sz="8" w:space="0"/>
              <w:right w:val="single" w:color="4A7EBB" w:sz="6" w:space="0"/>
            </w:tcBorders>
            <w:tcMar>
              <w:top w:w="15" w:type="dxa"/>
              <w:left w:w="71" w:type="dxa"/>
              <w:bottom w:w="0" w:type="dxa"/>
              <w:right w:w="71" w:type="dxa"/>
            </w:tcMar>
            <w:vAlign w:val="center"/>
          </w:tcPr>
          <w:p>
            <w:pPr>
              <w:spacing w:line="240" w:lineRule="exact"/>
              <w:rPr>
                <w:rFonts w:ascii="黑体" w:hAnsi="黑体" w:eastAsia="黑体"/>
                <w:sz w:val="18"/>
                <w:szCs w:val="18"/>
              </w:rPr>
            </w:pPr>
            <w:r>
              <w:rPr>
                <w:rFonts w:hint="eastAsia" w:ascii="黑体" w:hAnsi="黑体" w:eastAsia="黑体"/>
                <w:sz w:val="18"/>
                <w:szCs w:val="18"/>
              </w:rPr>
              <w:t xml:space="preserve">属于针对性假设 </w:t>
            </w:r>
          </w:p>
        </w:tc>
        <w:tc>
          <w:tcPr>
            <w:tcW w:w="404" w:type="dxa"/>
            <w:tcBorders>
              <w:top w:val="single" w:color="4A7EBB" w:sz="6" w:space="0"/>
              <w:left w:val="single" w:color="4A7EBB" w:sz="6" w:space="0"/>
              <w:bottom w:val="single" w:color="4A7EBB" w:sz="6" w:space="0"/>
              <w:right w:val="single" w:color="4A7EBB" w:sz="6" w:space="0"/>
            </w:tcBorders>
            <w:tcMar>
              <w:top w:w="15" w:type="dxa"/>
              <w:left w:w="71" w:type="dxa"/>
              <w:bottom w:w="0" w:type="dxa"/>
              <w:right w:w="71" w:type="dxa"/>
            </w:tcMar>
            <w:vAlign w:val="center"/>
          </w:tcPr>
          <w:p>
            <w:pPr>
              <w:spacing w:line="240" w:lineRule="exact"/>
              <w:rPr>
                <w:rFonts w:ascii="黑体" w:hAnsi="黑体" w:eastAsia="黑体"/>
                <w:sz w:val="18"/>
                <w:szCs w:val="18"/>
              </w:rPr>
            </w:pPr>
            <w:r>
              <w:rPr>
                <w:rFonts w:hint="eastAsia" w:ascii="黑体" w:hAnsi="黑体" w:eastAsia="黑体"/>
                <w:sz w:val="18"/>
                <w:szCs w:val="18"/>
              </w:rPr>
              <w:t xml:space="preserve">1 </w:t>
            </w:r>
          </w:p>
        </w:tc>
        <w:tc>
          <w:tcPr>
            <w:tcW w:w="3428" w:type="dxa"/>
            <w:tcBorders>
              <w:top w:val="single" w:color="4A7EBB" w:sz="6" w:space="0"/>
              <w:left w:val="single" w:color="4A7EBB" w:sz="6" w:space="0"/>
              <w:bottom w:val="single" w:color="4A7EBB" w:sz="6" w:space="0"/>
              <w:right w:val="single" w:color="4A7EBB" w:sz="6" w:space="0"/>
            </w:tcBorders>
            <w:tcMar>
              <w:top w:w="15" w:type="dxa"/>
              <w:left w:w="71" w:type="dxa"/>
              <w:bottom w:w="0" w:type="dxa"/>
              <w:right w:w="71" w:type="dxa"/>
            </w:tcMar>
            <w:vAlign w:val="center"/>
          </w:tcPr>
          <w:p>
            <w:pPr>
              <w:spacing w:line="240" w:lineRule="exact"/>
              <w:rPr>
                <w:rFonts w:ascii="黑体" w:hAnsi="黑体" w:eastAsia="黑体"/>
                <w:sz w:val="18"/>
                <w:szCs w:val="18"/>
              </w:rPr>
            </w:pPr>
            <w:r>
              <w:rPr>
                <w:rFonts w:hint="eastAsia" w:ascii="黑体" w:hAnsi="黑体" w:eastAsia="黑体"/>
                <w:sz w:val="18"/>
                <w:szCs w:val="18"/>
              </w:rPr>
              <w:t xml:space="preserve">生产经营模式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0" w:hRule="atLeast"/>
          <w:jc w:val="center"/>
        </w:trPr>
        <w:tc>
          <w:tcPr>
            <w:tcW w:w="509" w:type="dxa"/>
            <w:vMerge w:val="continue"/>
            <w:tcBorders>
              <w:top w:val="single" w:color="4A7EBB" w:sz="6" w:space="0"/>
              <w:left w:val="single" w:color="4A7EBB" w:sz="6" w:space="0"/>
              <w:bottom w:val="single" w:color="000000" w:sz="8" w:space="0"/>
              <w:right w:val="single" w:color="4A7EBB" w:sz="6" w:space="0"/>
            </w:tcBorders>
            <w:vAlign w:val="center"/>
          </w:tcPr>
          <w:p>
            <w:pPr>
              <w:spacing w:line="240" w:lineRule="exact"/>
              <w:jc w:val="center"/>
              <w:rPr>
                <w:rFonts w:ascii="黑体" w:hAnsi="黑体" w:eastAsia="黑体"/>
                <w:sz w:val="18"/>
                <w:szCs w:val="18"/>
              </w:rPr>
            </w:pPr>
          </w:p>
        </w:tc>
        <w:tc>
          <w:tcPr>
            <w:tcW w:w="851" w:type="dxa"/>
            <w:vMerge w:val="continue"/>
            <w:tcBorders>
              <w:top w:val="single" w:color="4A7EBB" w:sz="6" w:space="0"/>
              <w:left w:val="single" w:color="4A7EBB" w:sz="6" w:space="0"/>
              <w:bottom w:val="single" w:color="000000" w:sz="8" w:space="0"/>
              <w:right w:val="single" w:color="4A7EBB" w:sz="6" w:space="0"/>
            </w:tcBorders>
            <w:vAlign w:val="center"/>
          </w:tcPr>
          <w:p>
            <w:pPr>
              <w:spacing w:line="240" w:lineRule="exact"/>
              <w:rPr>
                <w:rFonts w:ascii="黑体" w:hAnsi="黑体" w:eastAsia="黑体"/>
                <w:sz w:val="18"/>
                <w:szCs w:val="18"/>
              </w:rPr>
            </w:pPr>
          </w:p>
        </w:tc>
        <w:tc>
          <w:tcPr>
            <w:tcW w:w="1207" w:type="dxa"/>
            <w:vMerge w:val="continue"/>
            <w:tcBorders>
              <w:top w:val="single" w:color="4A7EBB" w:sz="6" w:space="0"/>
              <w:left w:val="single" w:color="4A7EBB" w:sz="6" w:space="0"/>
              <w:bottom w:val="single" w:color="000000" w:sz="8" w:space="0"/>
              <w:right w:val="single" w:color="4A7EBB" w:sz="6" w:space="0"/>
            </w:tcBorders>
            <w:vAlign w:val="center"/>
          </w:tcPr>
          <w:p>
            <w:pPr>
              <w:spacing w:line="240" w:lineRule="exact"/>
              <w:rPr>
                <w:rFonts w:ascii="黑体" w:hAnsi="黑体" w:eastAsia="黑体"/>
                <w:sz w:val="18"/>
                <w:szCs w:val="18"/>
              </w:rPr>
            </w:pPr>
          </w:p>
        </w:tc>
        <w:tc>
          <w:tcPr>
            <w:tcW w:w="1821" w:type="dxa"/>
            <w:vMerge w:val="continue"/>
            <w:tcBorders>
              <w:top w:val="single" w:color="4A7EBB" w:sz="6" w:space="0"/>
              <w:left w:val="single" w:color="4A7EBB" w:sz="6" w:space="0"/>
              <w:bottom w:val="single" w:color="000000" w:sz="8" w:space="0"/>
              <w:right w:val="single" w:color="4A7EBB" w:sz="6" w:space="0"/>
            </w:tcBorders>
            <w:vAlign w:val="center"/>
          </w:tcPr>
          <w:p>
            <w:pPr>
              <w:spacing w:line="240" w:lineRule="exact"/>
              <w:rPr>
                <w:rFonts w:ascii="黑体" w:hAnsi="黑体" w:eastAsia="黑体"/>
                <w:sz w:val="18"/>
                <w:szCs w:val="18"/>
              </w:rPr>
            </w:pPr>
          </w:p>
        </w:tc>
        <w:tc>
          <w:tcPr>
            <w:tcW w:w="404" w:type="dxa"/>
            <w:tcBorders>
              <w:top w:val="single" w:color="4A7EBB" w:sz="6" w:space="0"/>
              <w:left w:val="single" w:color="4A7EBB" w:sz="6" w:space="0"/>
              <w:bottom w:val="single" w:color="4A7EBB" w:sz="6" w:space="0"/>
              <w:right w:val="single" w:color="4A7EBB" w:sz="6" w:space="0"/>
            </w:tcBorders>
            <w:tcMar>
              <w:top w:w="15" w:type="dxa"/>
              <w:left w:w="71" w:type="dxa"/>
              <w:bottom w:w="0" w:type="dxa"/>
              <w:right w:w="71" w:type="dxa"/>
            </w:tcMar>
            <w:vAlign w:val="center"/>
          </w:tcPr>
          <w:p>
            <w:pPr>
              <w:spacing w:line="240" w:lineRule="exact"/>
              <w:rPr>
                <w:rFonts w:ascii="黑体" w:hAnsi="黑体" w:eastAsia="黑体"/>
                <w:sz w:val="18"/>
                <w:szCs w:val="18"/>
              </w:rPr>
            </w:pPr>
            <w:r>
              <w:rPr>
                <w:rFonts w:hint="eastAsia" w:ascii="黑体" w:hAnsi="黑体" w:eastAsia="黑体"/>
                <w:sz w:val="18"/>
                <w:szCs w:val="18"/>
              </w:rPr>
              <w:t xml:space="preserve">2 </w:t>
            </w:r>
          </w:p>
        </w:tc>
        <w:tc>
          <w:tcPr>
            <w:tcW w:w="3428" w:type="dxa"/>
            <w:tcBorders>
              <w:top w:val="single" w:color="4A7EBB" w:sz="6" w:space="0"/>
              <w:left w:val="single" w:color="4A7EBB" w:sz="6" w:space="0"/>
              <w:bottom w:val="single" w:color="4A7EBB" w:sz="6" w:space="0"/>
              <w:right w:val="single" w:color="4A7EBB" w:sz="6" w:space="0"/>
            </w:tcBorders>
            <w:tcMar>
              <w:top w:w="15" w:type="dxa"/>
              <w:left w:w="71" w:type="dxa"/>
              <w:bottom w:w="0" w:type="dxa"/>
              <w:right w:w="71" w:type="dxa"/>
            </w:tcMar>
            <w:vAlign w:val="center"/>
          </w:tcPr>
          <w:p>
            <w:pPr>
              <w:spacing w:line="240" w:lineRule="exact"/>
              <w:rPr>
                <w:rFonts w:ascii="黑体" w:hAnsi="黑体" w:eastAsia="黑体"/>
                <w:sz w:val="18"/>
                <w:szCs w:val="18"/>
              </w:rPr>
            </w:pPr>
            <w:r>
              <w:rPr>
                <w:rFonts w:hint="eastAsia" w:ascii="黑体" w:hAnsi="黑体" w:eastAsia="黑体"/>
                <w:sz w:val="18"/>
                <w:szCs w:val="18"/>
              </w:rPr>
              <w:t xml:space="preserve">业务（产品）种类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0" w:hRule="atLeast"/>
          <w:jc w:val="center"/>
        </w:trPr>
        <w:tc>
          <w:tcPr>
            <w:tcW w:w="509" w:type="dxa"/>
            <w:vMerge w:val="continue"/>
            <w:tcBorders>
              <w:top w:val="single" w:color="4A7EBB" w:sz="6" w:space="0"/>
              <w:left w:val="single" w:color="4A7EBB" w:sz="6" w:space="0"/>
              <w:bottom w:val="single" w:color="000000" w:sz="8" w:space="0"/>
              <w:right w:val="single" w:color="4A7EBB" w:sz="6" w:space="0"/>
            </w:tcBorders>
            <w:vAlign w:val="center"/>
          </w:tcPr>
          <w:p>
            <w:pPr>
              <w:spacing w:line="240" w:lineRule="exact"/>
              <w:jc w:val="center"/>
              <w:rPr>
                <w:rFonts w:ascii="黑体" w:hAnsi="黑体" w:eastAsia="黑体"/>
                <w:sz w:val="18"/>
                <w:szCs w:val="18"/>
              </w:rPr>
            </w:pPr>
          </w:p>
        </w:tc>
        <w:tc>
          <w:tcPr>
            <w:tcW w:w="851" w:type="dxa"/>
            <w:vMerge w:val="continue"/>
            <w:tcBorders>
              <w:top w:val="single" w:color="4A7EBB" w:sz="6" w:space="0"/>
              <w:left w:val="single" w:color="4A7EBB" w:sz="6" w:space="0"/>
              <w:bottom w:val="single" w:color="000000" w:sz="8" w:space="0"/>
              <w:right w:val="single" w:color="4A7EBB" w:sz="6" w:space="0"/>
            </w:tcBorders>
            <w:vAlign w:val="center"/>
          </w:tcPr>
          <w:p>
            <w:pPr>
              <w:spacing w:line="240" w:lineRule="exact"/>
              <w:rPr>
                <w:rFonts w:ascii="黑体" w:hAnsi="黑体" w:eastAsia="黑体"/>
                <w:sz w:val="18"/>
                <w:szCs w:val="18"/>
              </w:rPr>
            </w:pPr>
          </w:p>
        </w:tc>
        <w:tc>
          <w:tcPr>
            <w:tcW w:w="1207" w:type="dxa"/>
            <w:vMerge w:val="continue"/>
            <w:tcBorders>
              <w:top w:val="single" w:color="4A7EBB" w:sz="6" w:space="0"/>
              <w:left w:val="single" w:color="4A7EBB" w:sz="6" w:space="0"/>
              <w:bottom w:val="single" w:color="000000" w:sz="8" w:space="0"/>
              <w:right w:val="single" w:color="4A7EBB" w:sz="6" w:space="0"/>
            </w:tcBorders>
            <w:vAlign w:val="center"/>
          </w:tcPr>
          <w:p>
            <w:pPr>
              <w:spacing w:line="240" w:lineRule="exact"/>
              <w:rPr>
                <w:rFonts w:ascii="黑体" w:hAnsi="黑体" w:eastAsia="黑体"/>
                <w:sz w:val="18"/>
                <w:szCs w:val="18"/>
              </w:rPr>
            </w:pPr>
          </w:p>
        </w:tc>
        <w:tc>
          <w:tcPr>
            <w:tcW w:w="1821" w:type="dxa"/>
            <w:vMerge w:val="continue"/>
            <w:tcBorders>
              <w:top w:val="single" w:color="4A7EBB" w:sz="6" w:space="0"/>
              <w:left w:val="single" w:color="4A7EBB" w:sz="6" w:space="0"/>
              <w:bottom w:val="single" w:color="000000" w:sz="8" w:space="0"/>
              <w:right w:val="single" w:color="4A7EBB" w:sz="6" w:space="0"/>
            </w:tcBorders>
            <w:vAlign w:val="center"/>
          </w:tcPr>
          <w:p>
            <w:pPr>
              <w:spacing w:line="240" w:lineRule="exact"/>
              <w:rPr>
                <w:rFonts w:ascii="黑体" w:hAnsi="黑体" w:eastAsia="黑体"/>
                <w:sz w:val="18"/>
                <w:szCs w:val="18"/>
              </w:rPr>
            </w:pPr>
          </w:p>
        </w:tc>
        <w:tc>
          <w:tcPr>
            <w:tcW w:w="404" w:type="dxa"/>
            <w:tcBorders>
              <w:top w:val="single" w:color="4A7EBB" w:sz="6" w:space="0"/>
              <w:left w:val="single" w:color="4A7EBB" w:sz="6" w:space="0"/>
              <w:bottom w:val="single" w:color="4A7EBB" w:sz="6" w:space="0"/>
              <w:right w:val="single" w:color="4A7EBB" w:sz="6" w:space="0"/>
            </w:tcBorders>
            <w:tcMar>
              <w:top w:w="15" w:type="dxa"/>
              <w:left w:w="71" w:type="dxa"/>
              <w:bottom w:w="0" w:type="dxa"/>
              <w:right w:w="71" w:type="dxa"/>
            </w:tcMar>
            <w:vAlign w:val="center"/>
          </w:tcPr>
          <w:p>
            <w:pPr>
              <w:spacing w:line="240" w:lineRule="exact"/>
              <w:rPr>
                <w:rFonts w:ascii="黑体" w:hAnsi="黑体" w:eastAsia="黑体"/>
                <w:sz w:val="18"/>
                <w:szCs w:val="18"/>
              </w:rPr>
            </w:pPr>
            <w:r>
              <w:rPr>
                <w:rFonts w:hint="eastAsia" w:ascii="黑体" w:hAnsi="黑体" w:eastAsia="黑体"/>
                <w:sz w:val="18"/>
                <w:szCs w:val="18"/>
              </w:rPr>
              <w:t xml:space="preserve">3 </w:t>
            </w:r>
          </w:p>
        </w:tc>
        <w:tc>
          <w:tcPr>
            <w:tcW w:w="3428" w:type="dxa"/>
            <w:tcBorders>
              <w:top w:val="single" w:color="4A7EBB" w:sz="6" w:space="0"/>
              <w:left w:val="single" w:color="4A7EBB" w:sz="6" w:space="0"/>
              <w:bottom w:val="single" w:color="4A7EBB" w:sz="6" w:space="0"/>
              <w:right w:val="single" w:color="4A7EBB" w:sz="6" w:space="0"/>
            </w:tcBorders>
            <w:tcMar>
              <w:top w:w="15" w:type="dxa"/>
              <w:left w:w="71" w:type="dxa"/>
              <w:bottom w:w="0" w:type="dxa"/>
              <w:right w:w="71" w:type="dxa"/>
            </w:tcMar>
            <w:vAlign w:val="center"/>
          </w:tcPr>
          <w:p>
            <w:pPr>
              <w:spacing w:line="240" w:lineRule="exact"/>
              <w:rPr>
                <w:rFonts w:ascii="黑体" w:hAnsi="黑体" w:eastAsia="黑体"/>
                <w:sz w:val="18"/>
                <w:szCs w:val="18"/>
              </w:rPr>
            </w:pPr>
            <w:r>
              <w:rPr>
                <w:rFonts w:hint="eastAsia" w:ascii="黑体" w:hAnsi="黑体" w:eastAsia="黑体"/>
                <w:sz w:val="18"/>
                <w:szCs w:val="18"/>
              </w:rPr>
              <w:t xml:space="preserve">业务规模、经营计划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0" w:hRule="atLeast"/>
          <w:jc w:val="center"/>
        </w:trPr>
        <w:tc>
          <w:tcPr>
            <w:tcW w:w="509" w:type="dxa"/>
            <w:vMerge w:val="continue"/>
            <w:tcBorders>
              <w:top w:val="single" w:color="4A7EBB" w:sz="6" w:space="0"/>
              <w:left w:val="single" w:color="4A7EBB" w:sz="6" w:space="0"/>
              <w:bottom w:val="single" w:color="000000" w:sz="8" w:space="0"/>
              <w:right w:val="single" w:color="4A7EBB" w:sz="6" w:space="0"/>
            </w:tcBorders>
            <w:vAlign w:val="center"/>
          </w:tcPr>
          <w:p>
            <w:pPr>
              <w:spacing w:line="240" w:lineRule="exact"/>
              <w:jc w:val="center"/>
              <w:rPr>
                <w:rFonts w:ascii="黑体" w:hAnsi="黑体" w:eastAsia="黑体"/>
                <w:sz w:val="18"/>
                <w:szCs w:val="18"/>
              </w:rPr>
            </w:pPr>
          </w:p>
        </w:tc>
        <w:tc>
          <w:tcPr>
            <w:tcW w:w="851" w:type="dxa"/>
            <w:vMerge w:val="continue"/>
            <w:tcBorders>
              <w:top w:val="single" w:color="4A7EBB" w:sz="6" w:space="0"/>
              <w:left w:val="single" w:color="4A7EBB" w:sz="6" w:space="0"/>
              <w:bottom w:val="single" w:color="000000" w:sz="8" w:space="0"/>
              <w:right w:val="single" w:color="4A7EBB" w:sz="6" w:space="0"/>
            </w:tcBorders>
            <w:vAlign w:val="center"/>
          </w:tcPr>
          <w:p>
            <w:pPr>
              <w:spacing w:line="240" w:lineRule="exact"/>
              <w:rPr>
                <w:rFonts w:ascii="黑体" w:hAnsi="黑体" w:eastAsia="黑体"/>
                <w:sz w:val="18"/>
                <w:szCs w:val="18"/>
              </w:rPr>
            </w:pPr>
          </w:p>
        </w:tc>
        <w:tc>
          <w:tcPr>
            <w:tcW w:w="1207" w:type="dxa"/>
            <w:vMerge w:val="continue"/>
            <w:tcBorders>
              <w:top w:val="single" w:color="4A7EBB" w:sz="6" w:space="0"/>
              <w:left w:val="single" w:color="4A7EBB" w:sz="6" w:space="0"/>
              <w:bottom w:val="single" w:color="000000" w:sz="8" w:space="0"/>
              <w:right w:val="single" w:color="4A7EBB" w:sz="6" w:space="0"/>
            </w:tcBorders>
            <w:vAlign w:val="center"/>
          </w:tcPr>
          <w:p>
            <w:pPr>
              <w:spacing w:line="240" w:lineRule="exact"/>
              <w:rPr>
                <w:rFonts w:ascii="黑体" w:hAnsi="黑体" w:eastAsia="黑体"/>
                <w:sz w:val="18"/>
                <w:szCs w:val="18"/>
              </w:rPr>
            </w:pPr>
          </w:p>
        </w:tc>
        <w:tc>
          <w:tcPr>
            <w:tcW w:w="1821" w:type="dxa"/>
            <w:vMerge w:val="continue"/>
            <w:tcBorders>
              <w:top w:val="single" w:color="4A7EBB" w:sz="6" w:space="0"/>
              <w:left w:val="single" w:color="4A7EBB" w:sz="6" w:space="0"/>
              <w:bottom w:val="single" w:color="000000" w:sz="8" w:space="0"/>
              <w:right w:val="single" w:color="4A7EBB" w:sz="6" w:space="0"/>
            </w:tcBorders>
            <w:vAlign w:val="center"/>
          </w:tcPr>
          <w:p>
            <w:pPr>
              <w:spacing w:line="240" w:lineRule="exact"/>
              <w:rPr>
                <w:rFonts w:ascii="黑体" w:hAnsi="黑体" w:eastAsia="黑体"/>
                <w:sz w:val="18"/>
                <w:szCs w:val="18"/>
              </w:rPr>
            </w:pPr>
          </w:p>
        </w:tc>
        <w:tc>
          <w:tcPr>
            <w:tcW w:w="404" w:type="dxa"/>
            <w:tcBorders>
              <w:top w:val="single" w:color="4A7EBB" w:sz="6" w:space="0"/>
              <w:left w:val="single" w:color="4A7EBB" w:sz="6" w:space="0"/>
              <w:bottom w:val="single" w:color="4A7EBB" w:sz="6" w:space="0"/>
              <w:right w:val="single" w:color="4A7EBB" w:sz="6" w:space="0"/>
            </w:tcBorders>
            <w:tcMar>
              <w:top w:w="15" w:type="dxa"/>
              <w:left w:w="71" w:type="dxa"/>
              <w:bottom w:w="0" w:type="dxa"/>
              <w:right w:w="71" w:type="dxa"/>
            </w:tcMar>
            <w:vAlign w:val="center"/>
          </w:tcPr>
          <w:p>
            <w:pPr>
              <w:spacing w:line="240" w:lineRule="exact"/>
              <w:rPr>
                <w:rFonts w:ascii="黑体" w:hAnsi="黑体" w:eastAsia="黑体"/>
                <w:sz w:val="18"/>
                <w:szCs w:val="18"/>
              </w:rPr>
            </w:pPr>
            <w:r>
              <w:rPr>
                <w:rFonts w:hint="eastAsia" w:ascii="黑体" w:hAnsi="黑体" w:eastAsia="黑体"/>
                <w:sz w:val="18"/>
                <w:szCs w:val="18"/>
              </w:rPr>
              <w:t xml:space="preserve">4 </w:t>
            </w:r>
          </w:p>
        </w:tc>
        <w:tc>
          <w:tcPr>
            <w:tcW w:w="3428" w:type="dxa"/>
            <w:tcBorders>
              <w:top w:val="single" w:color="4A7EBB" w:sz="6" w:space="0"/>
              <w:left w:val="single" w:color="4A7EBB" w:sz="6" w:space="0"/>
              <w:bottom w:val="single" w:color="4A7EBB" w:sz="6" w:space="0"/>
              <w:right w:val="single" w:color="4A7EBB" w:sz="6" w:space="0"/>
            </w:tcBorders>
            <w:tcMar>
              <w:top w:w="15" w:type="dxa"/>
              <w:left w:w="71" w:type="dxa"/>
              <w:bottom w:w="0" w:type="dxa"/>
              <w:right w:w="71" w:type="dxa"/>
            </w:tcMar>
            <w:vAlign w:val="center"/>
          </w:tcPr>
          <w:p>
            <w:pPr>
              <w:spacing w:line="240" w:lineRule="exact"/>
              <w:rPr>
                <w:rFonts w:ascii="黑体" w:hAnsi="黑体" w:eastAsia="黑体"/>
                <w:sz w:val="18"/>
                <w:szCs w:val="18"/>
              </w:rPr>
            </w:pPr>
            <w:r>
              <w:rPr>
                <w:rFonts w:hint="eastAsia" w:ascii="黑体" w:hAnsi="黑体" w:eastAsia="黑体"/>
                <w:sz w:val="18"/>
                <w:szCs w:val="18"/>
              </w:rPr>
              <w:t xml:space="preserve">行业地位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0" w:hRule="atLeast"/>
          <w:jc w:val="center"/>
        </w:trPr>
        <w:tc>
          <w:tcPr>
            <w:tcW w:w="509" w:type="dxa"/>
            <w:vMerge w:val="continue"/>
            <w:tcBorders>
              <w:top w:val="single" w:color="4A7EBB" w:sz="6" w:space="0"/>
              <w:left w:val="single" w:color="4A7EBB" w:sz="6" w:space="0"/>
              <w:bottom w:val="single" w:color="000000" w:sz="8" w:space="0"/>
              <w:right w:val="single" w:color="4A7EBB" w:sz="6" w:space="0"/>
            </w:tcBorders>
            <w:vAlign w:val="center"/>
          </w:tcPr>
          <w:p>
            <w:pPr>
              <w:spacing w:line="240" w:lineRule="exact"/>
              <w:jc w:val="center"/>
              <w:rPr>
                <w:rFonts w:ascii="黑体" w:hAnsi="黑体" w:eastAsia="黑体"/>
                <w:sz w:val="18"/>
                <w:szCs w:val="18"/>
              </w:rPr>
            </w:pPr>
          </w:p>
        </w:tc>
        <w:tc>
          <w:tcPr>
            <w:tcW w:w="851" w:type="dxa"/>
            <w:vMerge w:val="continue"/>
            <w:tcBorders>
              <w:top w:val="single" w:color="4A7EBB" w:sz="6" w:space="0"/>
              <w:left w:val="single" w:color="4A7EBB" w:sz="6" w:space="0"/>
              <w:bottom w:val="single" w:color="000000" w:sz="8" w:space="0"/>
              <w:right w:val="single" w:color="4A7EBB" w:sz="6" w:space="0"/>
            </w:tcBorders>
            <w:vAlign w:val="center"/>
          </w:tcPr>
          <w:p>
            <w:pPr>
              <w:spacing w:line="240" w:lineRule="exact"/>
              <w:rPr>
                <w:rFonts w:ascii="黑体" w:hAnsi="黑体" w:eastAsia="黑体"/>
                <w:sz w:val="18"/>
                <w:szCs w:val="18"/>
              </w:rPr>
            </w:pPr>
          </w:p>
        </w:tc>
        <w:tc>
          <w:tcPr>
            <w:tcW w:w="1207" w:type="dxa"/>
            <w:vMerge w:val="continue"/>
            <w:tcBorders>
              <w:top w:val="single" w:color="4A7EBB" w:sz="6" w:space="0"/>
              <w:left w:val="single" w:color="4A7EBB" w:sz="6" w:space="0"/>
              <w:bottom w:val="single" w:color="000000" w:sz="8" w:space="0"/>
              <w:right w:val="single" w:color="4A7EBB" w:sz="6" w:space="0"/>
            </w:tcBorders>
            <w:vAlign w:val="center"/>
          </w:tcPr>
          <w:p>
            <w:pPr>
              <w:spacing w:line="240" w:lineRule="exact"/>
              <w:rPr>
                <w:rFonts w:ascii="黑体" w:hAnsi="黑体" w:eastAsia="黑体"/>
                <w:sz w:val="18"/>
                <w:szCs w:val="18"/>
              </w:rPr>
            </w:pPr>
          </w:p>
        </w:tc>
        <w:tc>
          <w:tcPr>
            <w:tcW w:w="1821" w:type="dxa"/>
            <w:vMerge w:val="continue"/>
            <w:tcBorders>
              <w:top w:val="single" w:color="4A7EBB" w:sz="6" w:space="0"/>
              <w:left w:val="single" w:color="4A7EBB" w:sz="6" w:space="0"/>
              <w:bottom w:val="single" w:color="000000" w:sz="8" w:space="0"/>
              <w:right w:val="single" w:color="4A7EBB" w:sz="6" w:space="0"/>
            </w:tcBorders>
            <w:vAlign w:val="center"/>
          </w:tcPr>
          <w:p>
            <w:pPr>
              <w:spacing w:line="240" w:lineRule="exact"/>
              <w:rPr>
                <w:rFonts w:ascii="黑体" w:hAnsi="黑体" w:eastAsia="黑体"/>
                <w:sz w:val="18"/>
                <w:szCs w:val="18"/>
              </w:rPr>
            </w:pPr>
          </w:p>
        </w:tc>
        <w:tc>
          <w:tcPr>
            <w:tcW w:w="404" w:type="dxa"/>
            <w:tcBorders>
              <w:top w:val="single" w:color="4A7EBB" w:sz="6" w:space="0"/>
              <w:left w:val="single" w:color="4A7EBB" w:sz="6" w:space="0"/>
              <w:bottom w:val="single" w:color="4A7EBB" w:sz="6" w:space="0"/>
              <w:right w:val="single" w:color="4A7EBB" w:sz="6" w:space="0"/>
            </w:tcBorders>
            <w:tcMar>
              <w:top w:w="15" w:type="dxa"/>
              <w:left w:w="71" w:type="dxa"/>
              <w:bottom w:w="0" w:type="dxa"/>
              <w:right w:w="71" w:type="dxa"/>
            </w:tcMar>
            <w:vAlign w:val="center"/>
          </w:tcPr>
          <w:p>
            <w:pPr>
              <w:spacing w:line="240" w:lineRule="exact"/>
              <w:rPr>
                <w:rFonts w:ascii="黑体" w:hAnsi="黑体" w:eastAsia="黑体"/>
                <w:sz w:val="18"/>
                <w:szCs w:val="18"/>
              </w:rPr>
            </w:pPr>
            <w:r>
              <w:rPr>
                <w:rFonts w:hint="eastAsia" w:ascii="黑体" w:hAnsi="黑体" w:eastAsia="黑体"/>
                <w:sz w:val="18"/>
                <w:szCs w:val="18"/>
              </w:rPr>
              <w:t xml:space="preserve">5 </w:t>
            </w:r>
          </w:p>
        </w:tc>
        <w:tc>
          <w:tcPr>
            <w:tcW w:w="3428" w:type="dxa"/>
            <w:tcBorders>
              <w:top w:val="single" w:color="4A7EBB" w:sz="6" w:space="0"/>
              <w:left w:val="single" w:color="4A7EBB" w:sz="6" w:space="0"/>
              <w:bottom w:val="single" w:color="4A7EBB" w:sz="6" w:space="0"/>
              <w:right w:val="single" w:color="4A7EBB" w:sz="6" w:space="0"/>
            </w:tcBorders>
            <w:tcMar>
              <w:top w:w="15" w:type="dxa"/>
              <w:left w:w="71" w:type="dxa"/>
              <w:bottom w:w="0" w:type="dxa"/>
              <w:right w:w="71" w:type="dxa"/>
            </w:tcMar>
            <w:vAlign w:val="center"/>
          </w:tcPr>
          <w:p>
            <w:pPr>
              <w:spacing w:line="240" w:lineRule="exact"/>
              <w:rPr>
                <w:rFonts w:ascii="黑体" w:hAnsi="黑体" w:eastAsia="黑体"/>
                <w:sz w:val="18"/>
                <w:szCs w:val="18"/>
              </w:rPr>
            </w:pPr>
            <w:r>
              <w:rPr>
                <w:rFonts w:hint="eastAsia" w:ascii="黑体" w:hAnsi="黑体" w:eastAsia="黑体"/>
                <w:sz w:val="18"/>
                <w:szCs w:val="18"/>
              </w:rPr>
              <w:t xml:space="preserve">经营管理方式、管理水平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0" w:hRule="atLeast"/>
          <w:jc w:val="center"/>
        </w:trPr>
        <w:tc>
          <w:tcPr>
            <w:tcW w:w="509" w:type="dxa"/>
            <w:vMerge w:val="continue"/>
            <w:tcBorders>
              <w:top w:val="single" w:color="4A7EBB" w:sz="6" w:space="0"/>
              <w:left w:val="single" w:color="4A7EBB" w:sz="6" w:space="0"/>
              <w:bottom w:val="single" w:color="000000" w:sz="8" w:space="0"/>
              <w:right w:val="single" w:color="4A7EBB" w:sz="6" w:space="0"/>
            </w:tcBorders>
            <w:vAlign w:val="center"/>
          </w:tcPr>
          <w:p>
            <w:pPr>
              <w:spacing w:line="240" w:lineRule="exact"/>
              <w:jc w:val="center"/>
              <w:rPr>
                <w:rFonts w:ascii="黑体" w:hAnsi="黑体" w:eastAsia="黑体"/>
                <w:sz w:val="18"/>
                <w:szCs w:val="18"/>
              </w:rPr>
            </w:pPr>
          </w:p>
        </w:tc>
        <w:tc>
          <w:tcPr>
            <w:tcW w:w="851" w:type="dxa"/>
            <w:vMerge w:val="continue"/>
            <w:tcBorders>
              <w:top w:val="single" w:color="4A7EBB" w:sz="6" w:space="0"/>
              <w:left w:val="single" w:color="4A7EBB" w:sz="6" w:space="0"/>
              <w:bottom w:val="single" w:color="000000" w:sz="8" w:space="0"/>
              <w:right w:val="single" w:color="4A7EBB" w:sz="6" w:space="0"/>
            </w:tcBorders>
            <w:vAlign w:val="center"/>
          </w:tcPr>
          <w:p>
            <w:pPr>
              <w:spacing w:line="240" w:lineRule="exact"/>
              <w:rPr>
                <w:rFonts w:ascii="黑体" w:hAnsi="黑体" w:eastAsia="黑体"/>
                <w:sz w:val="18"/>
                <w:szCs w:val="18"/>
              </w:rPr>
            </w:pPr>
          </w:p>
        </w:tc>
        <w:tc>
          <w:tcPr>
            <w:tcW w:w="1207" w:type="dxa"/>
            <w:vMerge w:val="continue"/>
            <w:tcBorders>
              <w:top w:val="single" w:color="4A7EBB" w:sz="6" w:space="0"/>
              <w:left w:val="single" w:color="4A7EBB" w:sz="6" w:space="0"/>
              <w:bottom w:val="single" w:color="000000" w:sz="8" w:space="0"/>
              <w:right w:val="single" w:color="4A7EBB" w:sz="6" w:space="0"/>
            </w:tcBorders>
            <w:vAlign w:val="center"/>
          </w:tcPr>
          <w:p>
            <w:pPr>
              <w:spacing w:line="240" w:lineRule="exact"/>
              <w:rPr>
                <w:rFonts w:ascii="黑体" w:hAnsi="黑体" w:eastAsia="黑体"/>
                <w:sz w:val="18"/>
                <w:szCs w:val="18"/>
              </w:rPr>
            </w:pPr>
          </w:p>
        </w:tc>
        <w:tc>
          <w:tcPr>
            <w:tcW w:w="1821" w:type="dxa"/>
            <w:vMerge w:val="continue"/>
            <w:tcBorders>
              <w:top w:val="single" w:color="4A7EBB" w:sz="6" w:space="0"/>
              <w:left w:val="single" w:color="4A7EBB" w:sz="6" w:space="0"/>
              <w:bottom w:val="single" w:color="000000" w:sz="8" w:space="0"/>
              <w:right w:val="single" w:color="4A7EBB" w:sz="6" w:space="0"/>
            </w:tcBorders>
            <w:vAlign w:val="center"/>
          </w:tcPr>
          <w:p>
            <w:pPr>
              <w:spacing w:line="240" w:lineRule="exact"/>
              <w:rPr>
                <w:rFonts w:ascii="黑体" w:hAnsi="黑体" w:eastAsia="黑体"/>
                <w:sz w:val="18"/>
                <w:szCs w:val="18"/>
              </w:rPr>
            </w:pPr>
          </w:p>
        </w:tc>
        <w:tc>
          <w:tcPr>
            <w:tcW w:w="404" w:type="dxa"/>
            <w:tcBorders>
              <w:top w:val="single" w:color="4A7EBB" w:sz="6" w:space="0"/>
              <w:left w:val="single" w:color="4A7EBB" w:sz="6" w:space="0"/>
              <w:bottom w:val="single" w:color="4A7EBB" w:sz="6" w:space="0"/>
              <w:right w:val="single" w:color="4A7EBB" w:sz="6" w:space="0"/>
            </w:tcBorders>
            <w:tcMar>
              <w:top w:w="15" w:type="dxa"/>
              <w:left w:w="71" w:type="dxa"/>
              <w:bottom w:w="0" w:type="dxa"/>
              <w:right w:w="71" w:type="dxa"/>
            </w:tcMar>
            <w:vAlign w:val="center"/>
          </w:tcPr>
          <w:p>
            <w:pPr>
              <w:spacing w:line="240" w:lineRule="exact"/>
              <w:rPr>
                <w:rFonts w:ascii="黑体" w:hAnsi="黑体" w:eastAsia="黑体"/>
                <w:sz w:val="18"/>
                <w:szCs w:val="18"/>
              </w:rPr>
            </w:pPr>
            <w:r>
              <w:rPr>
                <w:rFonts w:hint="eastAsia" w:ascii="黑体" w:hAnsi="黑体" w:eastAsia="黑体"/>
                <w:sz w:val="18"/>
                <w:szCs w:val="18"/>
              </w:rPr>
              <w:t xml:space="preserve">6 </w:t>
            </w:r>
          </w:p>
        </w:tc>
        <w:tc>
          <w:tcPr>
            <w:tcW w:w="3428" w:type="dxa"/>
            <w:tcBorders>
              <w:top w:val="single" w:color="4A7EBB" w:sz="6" w:space="0"/>
              <w:left w:val="single" w:color="4A7EBB" w:sz="6" w:space="0"/>
              <w:bottom w:val="single" w:color="4A7EBB" w:sz="6" w:space="0"/>
              <w:right w:val="single" w:color="4A7EBB" w:sz="6" w:space="0"/>
            </w:tcBorders>
            <w:tcMar>
              <w:top w:w="15" w:type="dxa"/>
              <w:left w:w="71" w:type="dxa"/>
              <w:bottom w:w="0" w:type="dxa"/>
              <w:right w:w="71" w:type="dxa"/>
            </w:tcMar>
            <w:vAlign w:val="center"/>
          </w:tcPr>
          <w:p>
            <w:pPr>
              <w:spacing w:line="240" w:lineRule="exact"/>
              <w:rPr>
                <w:rFonts w:ascii="黑体" w:hAnsi="黑体" w:eastAsia="黑体"/>
                <w:sz w:val="18"/>
                <w:szCs w:val="18"/>
              </w:rPr>
            </w:pPr>
            <w:r>
              <w:rPr>
                <w:rFonts w:hint="eastAsia" w:ascii="黑体" w:hAnsi="黑体" w:eastAsia="黑体"/>
                <w:sz w:val="18"/>
                <w:szCs w:val="18"/>
              </w:rPr>
              <w:t xml:space="preserve">会计政策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0" w:hRule="atLeast"/>
          <w:jc w:val="center"/>
        </w:trPr>
        <w:tc>
          <w:tcPr>
            <w:tcW w:w="509" w:type="dxa"/>
            <w:vMerge w:val="continue"/>
            <w:tcBorders>
              <w:top w:val="single" w:color="4A7EBB" w:sz="6" w:space="0"/>
              <w:left w:val="single" w:color="4A7EBB" w:sz="6" w:space="0"/>
              <w:bottom w:val="single" w:color="000000" w:sz="8" w:space="0"/>
              <w:right w:val="single" w:color="4A7EBB" w:sz="6" w:space="0"/>
            </w:tcBorders>
            <w:vAlign w:val="center"/>
          </w:tcPr>
          <w:p>
            <w:pPr>
              <w:spacing w:line="240" w:lineRule="exact"/>
              <w:jc w:val="center"/>
              <w:rPr>
                <w:rFonts w:ascii="黑体" w:hAnsi="黑体" w:eastAsia="黑体"/>
                <w:sz w:val="18"/>
                <w:szCs w:val="18"/>
              </w:rPr>
            </w:pPr>
          </w:p>
        </w:tc>
        <w:tc>
          <w:tcPr>
            <w:tcW w:w="851" w:type="dxa"/>
            <w:vMerge w:val="continue"/>
            <w:tcBorders>
              <w:top w:val="single" w:color="4A7EBB" w:sz="6" w:space="0"/>
              <w:left w:val="single" w:color="4A7EBB" w:sz="6" w:space="0"/>
              <w:bottom w:val="single" w:color="000000" w:sz="8" w:space="0"/>
              <w:right w:val="single" w:color="4A7EBB" w:sz="6" w:space="0"/>
            </w:tcBorders>
            <w:vAlign w:val="center"/>
          </w:tcPr>
          <w:p>
            <w:pPr>
              <w:spacing w:line="240" w:lineRule="exact"/>
              <w:rPr>
                <w:rFonts w:ascii="黑体" w:hAnsi="黑体" w:eastAsia="黑体"/>
                <w:sz w:val="18"/>
                <w:szCs w:val="18"/>
              </w:rPr>
            </w:pPr>
          </w:p>
        </w:tc>
        <w:tc>
          <w:tcPr>
            <w:tcW w:w="1207" w:type="dxa"/>
            <w:vMerge w:val="continue"/>
            <w:tcBorders>
              <w:top w:val="single" w:color="4A7EBB" w:sz="6" w:space="0"/>
              <w:left w:val="single" w:color="4A7EBB" w:sz="6" w:space="0"/>
              <w:bottom w:val="single" w:color="000000" w:sz="8" w:space="0"/>
              <w:right w:val="single" w:color="4A7EBB" w:sz="6" w:space="0"/>
            </w:tcBorders>
            <w:vAlign w:val="center"/>
          </w:tcPr>
          <w:p>
            <w:pPr>
              <w:spacing w:line="240" w:lineRule="exact"/>
              <w:rPr>
                <w:rFonts w:ascii="黑体" w:hAnsi="黑体" w:eastAsia="黑体"/>
                <w:sz w:val="18"/>
                <w:szCs w:val="18"/>
              </w:rPr>
            </w:pPr>
          </w:p>
        </w:tc>
        <w:tc>
          <w:tcPr>
            <w:tcW w:w="1821" w:type="dxa"/>
            <w:vMerge w:val="continue"/>
            <w:tcBorders>
              <w:top w:val="single" w:color="4A7EBB" w:sz="6" w:space="0"/>
              <w:left w:val="single" w:color="4A7EBB" w:sz="6" w:space="0"/>
              <w:bottom w:val="single" w:color="000000" w:sz="8" w:space="0"/>
              <w:right w:val="single" w:color="4A7EBB" w:sz="6" w:space="0"/>
            </w:tcBorders>
            <w:vAlign w:val="center"/>
          </w:tcPr>
          <w:p>
            <w:pPr>
              <w:spacing w:line="240" w:lineRule="exact"/>
              <w:rPr>
                <w:rFonts w:ascii="黑体" w:hAnsi="黑体" w:eastAsia="黑体"/>
                <w:sz w:val="18"/>
                <w:szCs w:val="18"/>
              </w:rPr>
            </w:pPr>
          </w:p>
        </w:tc>
        <w:tc>
          <w:tcPr>
            <w:tcW w:w="404" w:type="dxa"/>
            <w:tcBorders>
              <w:top w:val="single" w:color="4A7EBB" w:sz="6" w:space="0"/>
              <w:left w:val="single" w:color="4A7EBB" w:sz="6" w:space="0"/>
              <w:bottom w:val="single" w:color="4A7EBB" w:sz="6" w:space="0"/>
              <w:right w:val="single" w:color="4A7EBB" w:sz="6" w:space="0"/>
            </w:tcBorders>
            <w:tcMar>
              <w:top w:w="15" w:type="dxa"/>
              <w:left w:w="71" w:type="dxa"/>
              <w:bottom w:w="0" w:type="dxa"/>
              <w:right w:w="71" w:type="dxa"/>
            </w:tcMar>
            <w:vAlign w:val="center"/>
          </w:tcPr>
          <w:p>
            <w:pPr>
              <w:spacing w:line="240" w:lineRule="exact"/>
              <w:rPr>
                <w:rFonts w:ascii="黑体" w:hAnsi="黑体" w:eastAsia="黑体"/>
                <w:sz w:val="18"/>
                <w:szCs w:val="18"/>
              </w:rPr>
            </w:pPr>
            <w:r>
              <w:rPr>
                <w:rFonts w:hint="eastAsia" w:ascii="黑体" w:hAnsi="黑体" w:eastAsia="黑体"/>
                <w:sz w:val="18"/>
                <w:szCs w:val="18"/>
              </w:rPr>
              <w:t xml:space="preserve">7 </w:t>
            </w:r>
          </w:p>
        </w:tc>
        <w:tc>
          <w:tcPr>
            <w:tcW w:w="3428" w:type="dxa"/>
            <w:tcBorders>
              <w:top w:val="single" w:color="4A7EBB" w:sz="6" w:space="0"/>
              <w:left w:val="single" w:color="4A7EBB" w:sz="6" w:space="0"/>
              <w:bottom w:val="single" w:color="4A7EBB" w:sz="6" w:space="0"/>
              <w:right w:val="single" w:color="4A7EBB" w:sz="6" w:space="0"/>
            </w:tcBorders>
            <w:tcMar>
              <w:top w:w="15" w:type="dxa"/>
              <w:left w:w="71" w:type="dxa"/>
              <w:bottom w:w="0" w:type="dxa"/>
              <w:right w:w="71" w:type="dxa"/>
            </w:tcMar>
            <w:vAlign w:val="center"/>
          </w:tcPr>
          <w:p>
            <w:pPr>
              <w:spacing w:line="240" w:lineRule="exact"/>
              <w:rPr>
                <w:rFonts w:ascii="黑体" w:hAnsi="黑体" w:eastAsia="黑体"/>
                <w:sz w:val="18"/>
                <w:szCs w:val="18"/>
              </w:rPr>
            </w:pPr>
            <w:r>
              <w:rPr>
                <w:rFonts w:hint="eastAsia" w:ascii="黑体" w:hAnsi="黑体" w:eastAsia="黑体"/>
                <w:sz w:val="18"/>
                <w:szCs w:val="18"/>
              </w:rPr>
              <w:t xml:space="preserve">税收优惠/减免政策；汇率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0" w:hRule="atLeast"/>
          <w:jc w:val="center"/>
        </w:trPr>
        <w:tc>
          <w:tcPr>
            <w:tcW w:w="509" w:type="dxa"/>
            <w:vMerge w:val="continue"/>
            <w:tcBorders>
              <w:top w:val="single" w:color="4A7EBB" w:sz="6" w:space="0"/>
              <w:left w:val="single" w:color="4A7EBB" w:sz="6" w:space="0"/>
              <w:bottom w:val="single" w:color="000000" w:sz="8" w:space="0"/>
              <w:right w:val="single" w:color="4A7EBB" w:sz="6" w:space="0"/>
            </w:tcBorders>
            <w:vAlign w:val="center"/>
          </w:tcPr>
          <w:p>
            <w:pPr>
              <w:spacing w:line="240" w:lineRule="exact"/>
              <w:jc w:val="center"/>
              <w:rPr>
                <w:rFonts w:ascii="黑体" w:hAnsi="黑体" w:eastAsia="黑体"/>
                <w:sz w:val="18"/>
                <w:szCs w:val="18"/>
              </w:rPr>
            </w:pPr>
          </w:p>
        </w:tc>
        <w:tc>
          <w:tcPr>
            <w:tcW w:w="851" w:type="dxa"/>
            <w:vMerge w:val="continue"/>
            <w:tcBorders>
              <w:top w:val="single" w:color="4A7EBB" w:sz="6" w:space="0"/>
              <w:left w:val="single" w:color="4A7EBB" w:sz="6" w:space="0"/>
              <w:bottom w:val="single" w:color="000000" w:sz="8" w:space="0"/>
              <w:right w:val="single" w:color="4A7EBB" w:sz="6" w:space="0"/>
            </w:tcBorders>
            <w:vAlign w:val="center"/>
          </w:tcPr>
          <w:p>
            <w:pPr>
              <w:spacing w:line="240" w:lineRule="exact"/>
              <w:rPr>
                <w:rFonts w:ascii="黑体" w:hAnsi="黑体" w:eastAsia="黑体"/>
                <w:sz w:val="18"/>
                <w:szCs w:val="18"/>
              </w:rPr>
            </w:pPr>
          </w:p>
        </w:tc>
        <w:tc>
          <w:tcPr>
            <w:tcW w:w="1207" w:type="dxa"/>
            <w:vMerge w:val="continue"/>
            <w:tcBorders>
              <w:top w:val="single" w:color="4A7EBB" w:sz="6" w:space="0"/>
              <w:left w:val="single" w:color="4A7EBB" w:sz="6" w:space="0"/>
              <w:bottom w:val="single" w:color="000000" w:sz="8" w:space="0"/>
              <w:right w:val="single" w:color="4A7EBB" w:sz="6" w:space="0"/>
            </w:tcBorders>
            <w:vAlign w:val="center"/>
          </w:tcPr>
          <w:p>
            <w:pPr>
              <w:spacing w:line="240" w:lineRule="exact"/>
              <w:rPr>
                <w:rFonts w:ascii="黑体" w:hAnsi="黑体" w:eastAsia="黑体"/>
                <w:sz w:val="18"/>
                <w:szCs w:val="18"/>
              </w:rPr>
            </w:pPr>
          </w:p>
        </w:tc>
        <w:tc>
          <w:tcPr>
            <w:tcW w:w="1821" w:type="dxa"/>
            <w:vMerge w:val="continue"/>
            <w:tcBorders>
              <w:top w:val="single" w:color="4A7EBB" w:sz="6" w:space="0"/>
              <w:left w:val="single" w:color="4A7EBB" w:sz="6" w:space="0"/>
              <w:bottom w:val="single" w:color="000000" w:sz="8" w:space="0"/>
              <w:right w:val="single" w:color="4A7EBB" w:sz="6" w:space="0"/>
            </w:tcBorders>
            <w:vAlign w:val="center"/>
          </w:tcPr>
          <w:p>
            <w:pPr>
              <w:spacing w:line="240" w:lineRule="exact"/>
              <w:rPr>
                <w:rFonts w:ascii="黑体" w:hAnsi="黑体" w:eastAsia="黑体"/>
                <w:sz w:val="18"/>
                <w:szCs w:val="18"/>
              </w:rPr>
            </w:pPr>
          </w:p>
        </w:tc>
        <w:tc>
          <w:tcPr>
            <w:tcW w:w="404" w:type="dxa"/>
            <w:tcBorders>
              <w:top w:val="single" w:color="4A7EBB" w:sz="6" w:space="0"/>
              <w:left w:val="single" w:color="4A7EBB" w:sz="6" w:space="0"/>
              <w:bottom w:val="single" w:color="4A7EBB" w:sz="6" w:space="0"/>
              <w:right w:val="single" w:color="4A7EBB" w:sz="6" w:space="0"/>
            </w:tcBorders>
            <w:tcMar>
              <w:top w:w="15" w:type="dxa"/>
              <w:left w:w="71" w:type="dxa"/>
              <w:bottom w:w="0" w:type="dxa"/>
              <w:right w:w="71" w:type="dxa"/>
            </w:tcMar>
            <w:vAlign w:val="center"/>
          </w:tcPr>
          <w:p>
            <w:pPr>
              <w:spacing w:line="240" w:lineRule="exact"/>
              <w:rPr>
                <w:rFonts w:ascii="黑体" w:hAnsi="黑体" w:eastAsia="黑体"/>
                <w:sz w:val="18"/>
                <w:szCs w:val="18"/>
              </w:rPr>
            </w:pPr>
            <w:r>
              <w:rPr>
                <w:rFonts w:hint="eastAsia" w:ascii="黑体" w:hAnsi="黑体" w:eastAsia="黑体"/>
                <w:sz w:val="18"/>
                <w:szCs w:val="18"/>
              </w:rPr>
              <w:t xml:space="preserve">8 </w:t>
            </w:r>
          </w:p>
        </w:tc>
        <w:tc>
          <w:tcPr>
            <w:tcW w:w="3428" w:type="dxa"/>
            <w:tcBorders>
              <w:top w:val="single" w:color="4A7EBB" w:sz="6" w:space="0"/>
              <w:left w:val="single" w:color="4A7EBB" w:sz="6" w:space="0"/>
              <w:bottom w:val="single" w:color="4A7EBB" w:sz="6" w:space="0"/>
              <w:right w:val="single" w:color="4A7EBB" w:sz="6" w:space="0"/>
            </w:tcBorders>
            <w:tcMar>
              <w:top w:w="15" w:type="dxa"/>
              <w:left w:w="71" w:type="dxa"/>
              <w:bottom w:w="0" w:type="dxa"/>
              <w:right w:w="71" w:type="dxa"/>
            </w:tcMar>
            <w:vAlign w:val="center"/>
          </w:tcPr>
          <w:p>
            <w:pPr>
              <w:spacing w:line="240" w:lineRule="exact"/>
              <w:rPr>
                <w:rFonts w:ascii="黑体" w:hAnsi="黑体" w:eastAsia="黑体"/>
                <w:sz w:val="18"/>
                <w:szCs w:val="18"/>
              </w:rPr>
            </w:pPr>
            <w:r>
              <w:rPr>
                <w:rFonts w:hint="eastAsia" w:ascii="黑体" w:hAnsi="黑体" w:eastAsia="黑体"/>
                <w:sz w:val="18"/>
                <w:szCs w:val="18"/>
              </w:rPr>
              <w:t xml:space="preserve">政府补贴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13" w:hRule="atLeast"/>
          <w:jc w:val="center"/>
        </w:trPr>
        <w:tc>
          <w:tcPr>
            <w:tcW w:w="509" w:type="dxa"/>
            <w:vMerge w:val="continue"/>
            <w:tcBorders>
              <w:top w:val="single" w:color="4A7EBB" w:sz="6" w:space="0"/>
              <w:left w:val="single" w:color="4A7EBB" w:sz="6" w:space="0"/>
              <w:bottom w:val="single" w:color="4A7EBB" w:sz="6" w:space="0"/>
              <w:right w:val="single" w:color="4A7EBB" w:sz="6" w:space="0"/>
            </w:tcBorders>
            <w:vAlign w:val="center"/>
          </w:tcPr>
          <w:p>
            <w:pPr>
              <w:spacing w:line="240" w:lineRule="exact"/>
              <w:jc w:val="center"/>
              <w:rPr>
                <w:rFonts w:ascii="黑体" w:hAnsi="黑体" w:eastAsia="黑体"/>
                <w:sz w:val="18"/>
                <w:szCs w:val="18"/>
              </w:rPr>
            </w:pPr>
          </w:p>
        </w:tc>
        <w:tc>
          <w:tcPr>
            <w:tcW w:w="851" w:type="dxa"/>
            <w:vMerge w:val="continue"/>
            <w:tcBorders>
              <w:top w:val="single" w:color="4A7EBB" w:sz="6" w:space="0"/>
              <w:left w:val="single" w:color="4A7EBB" w:sz="6" w:space="0"/>
              <w:bottom w:val="single" w:color="4A7EBB" w:sz="6" w:space="0"/>
              <w:right w:val="single" w:color="4A7EBB" w:sz="6" w:space="0"/>
            </w:tcBorders>
            <w:vAlign w:val="center"/>
          </w:tcPr>
          <w:p>
            <w:pPr>
              <w:spacing w:line="240" w:lineRule="exact"/>
              <w:rPr>
                <w:rFonts w:ascii="黑体" w:hAnsi="黑体" w:eastAsia="黑体"/>
                <w:sz w:val="18"/>
                <w:szCs w:val="18"/>
              </w:rPr>
            </w:pPr>
          </w:p>
        </w:tc>
        <w:tc>
          <w:tcPr>
            <w:tcW w:w="1207" w:type="dxa"/>
            <w:vMerge w:val="continue"/>
            <w:tcBorders>
              <w:top w:val="single" w:color="4A7EBB" w:sz="6" w:space="0"/>
              <w:left w:val="single" w:color="4A7EBB" w:sz="6" w:space="0"/>
              <w:bottom w:val="single" w:color="4A7EBB" w:sz="6" w:space="0"/>
              <w:right w:val="single" w:color="4A7EBB" w:sz="6" w:space="0"/>
            </w:tcBorders>
            <w:vAlign w:val="center"/>
          </w:tcPr>
          <w:p>
            <w:pPr>
              <w:spacing w:line="240" w:lineRule="exact"/>
              <w:rPr>
                <w:rFonts w:ascii="黑体" w:hAnsi="黑体" w:eastAsia="黑体"/>
                <w:sz w:val="18"/>
                <w:szCs w:val="18"/>
              </w:rPr>
            </w:pPr>
          </w:p>
        </w:tc>
        <w:tc>
          <w:tcPr>
            <w:tcW w:w="1821" w:type="dxa"/>
            <w:vMerge w:val="continue"/>
            <w:tcBorders>
              <w:top w:val="single" w:color="4A7EBB" w:sz="6" w:space="0"/>
              <w:left w:val="single" w:color="4A7EBB" w:sz="6" w:space="0"/>
              <w:bottom w:val="single" w:color="4A7EBB" w:sz="6" w:space="0"/>
              <w:right w:val="single" w:color="4A7EBB" w:sz="6" w:space="0"/>
            </w:tcBorders>
            <w:vAlign w:val="center"/>
          </w:tcPr>
          <w:p>
            <w:pPr>
              <w:spacing w:line="240" w:lineRule="exact"/>
              <w:rPr>
                <w:rFonts w:ascii="黑体" w:hAnsi="黑体" w:eastAsia="黑体"/>
                <w:sz w:val="18"/>
                <w:szCs w:val="18"/>
              </w:rPr>
            </w:pPr>
          </w:p>
        </w:tc>
        <w:tc>
          <w:tcPr>
            <w:tcW w:w="404" w:type="dxa"/>
            <w:tcBorders>
              <w:top w:val="single" w:color="4A7EBB" w:sz="6" w:space="0"/>
              <w:left w:val="single" w:color="4A7EBB" w:sz="6" w:space="0"/>
              <w:bottom w:val="single" w:color="4A7EBB" w:sz="6" w:space="0"/>
              <w:right w:val="single" w:color="4A7EBB" w:sz="6" w:space="0"/>
            </w:tcBorders>
            <w:tcMar>
              <w:top w:w="15" w:type="dxa"/>
              <w:left w:w="71" w:type="dxa"/>
              <w:bottom w:w="0" w:type="dxa"/>
              <w:right w:w="71" w:type="dxa"/>
            </w:tcMar>
            <w:vAlign w:val="center"/>
          </w:tcPr>
          <w:p>
            <w:pPr>
              <w:spacing w:line="240" w:lineRule="exact"/>
              <w:rPr>
                <w:rFonts w:ascii="黑体" w:hAnsi="黑体" w:eastAsia="黑体"/>
                <w:sz w:val="18"/>
                <w:szCs w:val="18"/>
              </w:rPr>
            </w:pPr>
            <w:r>
              <w:rPr>
                <w:rFonts w:hint="eastAsia" w:ascii="黑体" w:hAnsi="黑体" w:eastAsia="黑体"/>
                <w:sz w:val="18"/>
                <w:szCs w:val="18"/>
              </w:rPr>
              <w:t xml:space="preserve">9 </w:t>
            </w:r>
          </w:p>
        </w:tc>
        <w:tc>
          <w:tcPr>
            <w:tcW w:w="3428" w:type="dxa"/>
            <w:tcBorders>
              <w:top w:val="single" w:color="4A7EBB" w:sz="6" w:space="0"/>
              <w:left w:val="single" w:color="4A7EBB" w:sz="6" w:space="0"/>
              <w:bottom w:val="single" w:color="4A7EBB" w:sz="6" w:space="0"/>
              <w:right w:val="single" w:color="4A7EBB" w:sz="6" w:space="0"/>
            </w:tcBorders>
            <w:tcMar>
              <w:top w:w="15" w:type="dxa"/>
              <w:left w:w="71" w:type="dxa"/>
              <w:bottom w:w="0" w:type="dxa"/>
              <w:right w:w="71" w:type="dxa"/>
            </w:tcMar>
            <w:vAlign w:val="center"/>
          </w:tcPr>
          <w:p>
            <w:pPr>
              <w:spacing w:line="240" w:lineRule="exact"/>
              <w:rPr>
                <w:rFonts w:ascii="黑体" w:hAnsi="黑体" w:eastAsia="黑体"/>
                <w:sz w:val="18"/>
                <w:szCs w:val="18"/>
              </w:rPr>
            </w:pPr>
            <w:r>
              <w:rPr>
                <w:rFonts w:hint="eastAsia" w:ascii="黑体" w:hAnsi="黑体" w:eastAsia="黑体"/>
                <w:sz w:val="18"/>
                <w:szCs w:val="18"/>
              </w:rPr>
              <w:t xml:space="preserve">其他假设（如相关收益方式和分类协议）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0" w:hRule="atLeast"/>
          <w:jc w:val="center"/>
        </w:trPr>
        <w:tc>
          <w:tcPr>
            <w:tcW w:w="509" w:type="dxa"/>
            <w:vMerge w:val="restart"/>
            <w:tcBorders>
              <w:top w:val="single" w:color="4A7EBB" w:sz="6" w:space="0"/>
              <w:left w:val="single" w:color="4A7EBB" w:sz="6" w:space="0"/>
              <w:right w:val="single" w:color="4A7EBB" w:sz="6" w:space="0"/>
            </w:tcBorders>
            <w:vAlign w:val="center"/>
          </w:tcPr>
          <w:p>
            <w:pPr>
              <w:spacing w:line="240" w:lineRule="exact"/>
              <w:jc w:val="center"/>
              <w:rPr>
                <w:rFonts w:ascii="黑体" w:hAnsi="黑体" w:eastAsia="黑体"/>
                <w:sz w:val="18"/>
                <w:szCs w:val="18"/>
              </w:rPr>
            </w:pPr>
            <w:r>
              <w:rPr>
                <w:rFonts w:hint="eastAsia" w:ascii="黑体" w:hAnsi="黑体" w:eastAsia="黑体"/>
                <w:sz w:val="18"/>
                <w:szCs w:val="18"/>
              </w:rPr>
              <w:t>D类</w:t>
            </w:r>
          </w:p>
        </w:tc>
        <w:tc>
          <w:tcPr>
            <w:tcW w:w="851" w:type="dxa"/>
            <w:vMerge w:val="restart"/>
            <w:tcBorders>
              <w:top w:val="single" w:color="4A7EBB" w:sz="6" w:space="0"/>
              <w:left w:val="single" w:color="4A7EBB" w:sz="6" w:space="0"/>
              <w:right w:val="single" w:color="4A7EBB" w:sz="6" w:space="0"/>
            </w:tcBorders>
            <w:vAlign w:val="center"/>
          </w:tcPr>
          <w:p>
            <w:pPr>
              <w:spacing w:line="240" w:lineRule="exact"/>
              <w:jc w:val="center"/>
              <w:rPr>
                <w:rFonts w:ascii="黑体" w:hAnsi="黑体" w:eastAsia="黑体"/>
                <w:sz w:val="18"/>
                <w:szCs w:val="18"/>
              </w:rPr>
            </w:pPr>
            <w:r>
              <w:rPr>
                <w:rFonts w:hint="eastAsia" w:ascii="黑体" w:hAnsi="黑体" w:eastAsia="黑体"/>
                <w:sz w:val="18"/>
                <w:szCs w:val="18"/>
              </w:rPr>
              <w:t>资产</w:t>
            </w:r>
          </w:p>
        </w:tc>
        <w:tc>
          <w:tcPr>
            <w:tcW w:w="1207" w:type="dxa"/>
            <w:vMerge w:val="restart"/>
            <w:tcBorders>
              <w:top w:val="single" w:color="4A7EBB" w:sz="6" w:space="0"/>
              <w:left w:val="single" w:color="4A7EBB" w:sz="6" w:space="0"/>
              <w:right w:val="single" w:color="4A7EBB" w:sz="6" w:space="0"/>
            </w:tcBorders>
            <w:vAlign w:val="center"/>
          </w:tcPr>
          <w:p>
            <w:pPr>
              <w:spacing w:line="240" w:lineRule="exact"/>
              <w:rPr>
                <w:rFonts w:ascii="黑体" w:hAnsi="黑体" w:eastAsia="黑体"/>
                <w:sz w:val="18"/>
                <w:szCs w:val="18"/>
              </w:rPr>
            </w:pPr>
            <w:r>
              <w:rPr>
                <w:rFonts w:hint="eastAsia" w:ascii="黑体" w:hAnsi="黑体" w:eastAsia="黑体"/>
                <w:sz w:val="18"/>
                <w:szCs w:val="18"/>
              </w:rPr>
              <w:t>针对资产</w:t>
            </w:r>
          </w:p>
        </w:tc>
        <w:tc>
          <w:tcPr>
            <w:tcW w:w="1821" w:type="dxa"/>
            <w:vMerge w:val="restart"/>
            <w:tcBorders>
              <w:top w:val="single" w:color="4A7EBB" w:sz="6" w:space="0"/>
              <w:left w:val="single" w:color="4A7EBB" w:sz="6" w:space="0"/>
              <w:right w:val="single" w:color="4A7EBB" w:sz="6" w:space="0"/>
            </w:tcBorders>
            <w:vAlign w:val="center"/>
          </w:tcPr>
          <w:p>
            <w:pPr>
              <w:spacing w:line="240" w:lineRule="exact"/>
              <w:rPr>
                <w:rFonts w:ascii="黑体" w:hAnsi="黑体" w:eastAsia="黑体"/>
                <w:sz w:val="18"/>
                <w:szCs w:val="18"/>
              </w:rPr>
            </w:pPr>
            <w:r>
              <w:rPr>
                <w:rFonts w:hint="eastAsia" w:ascii="黑体" w:hAnsi="黑体" w:eastAsia="黑体"/>
                <w:sz w:val="18"/>
                <w:szCs w:val="18"/>
              </w:rPr>
              <w:t>属于针对性假设</w:t>
            </w:r>
          </w:p>
        </w:tc>
        <w:tc>
          <w:tcPr>
            <w:tcW w:w="404" w:type="dxa"/>
            <w:tcBorders>
              <w:top w:val="single" w:color="4A7EBB" w:sz="6" w:space="0"/>
              <w:left w:val="single" w:color="4A7EBB" w:sz="6" w:space="0"/>
              <w:bottom w:val="single" w:color="4A7EBB" w:sz="6" w:space="0"/>
              <w:right w:val="single" w:color="4A7EBB" w:sz="6" w:space="0"/>
            </w:tcBorders>
            <w:tcMar>
              <w:top w:w="15" w:type="dxa"/>
              <w:left w:w="71" w:type="dxa"/>
              <w:bottom w:w="0" w:type="dxa"/>
              <w:right w:w="71" w:type="dxa"/>
            </w:tcMar>
            <w:vAlign w:val="center"/>
          </w:tcPr>
          <w:p>
            <w:pPr>
              <w:spacing w:line="240" w:lineRule="exact"/>
              <w:rPr>
                <w:rFonts w:ascii="黑体" w:hAnsi="黑体" w:eastAsia="黑体"/>
                <w:sz w:val="18"/>
                <w:szCs w:val="18"/>
              </w:rPr>
            </w:pPr>
            <w:r>
              <w:rPr>
                <w:rFonts w:hint="eastAsia" w:ascii="黑体" w:hAnsi="黑体" w:eastAsia="黑体"/>
                <w:sz w:val="18"/>
                <w:szCs w:val="18"/>
              </w:rPr>
              <w:t>1</w:t>
            </w:r>
          </w:p>
        </w:tc>
        <w:tc>
          <w:tcPr>
            <w:tcW w:w="3428" w:type="dxa"/>
            <w:tcBorders>
              <w:top w:val="single" w:color="4A7EBB" w:sz="6" w:space="0"/>
              <w:left w:val="single" w:color="4A7EBB" w:sz="6" w:space="0"/>
              <w:bottom w:val="single" w:color="4A7EBB" w:sz="6" w:space="0"/>
              <w:right w:val="single" w:color="4A7EBB" w:sz="6" w:space="0"/>
            </w:tcBorders>
            <w:tcMar>
              <w:top w:w="15" w:type="dxa"/>
              <w:left w:w="71" w:type="dxa"/>
              <w:bottom w:w="0" w:type="dxa"/>
              <w:right w:w="71" w:type="dxa"/>
            </w:tcMar>
            <w:vAlign w:val="center"/>
          </w:tcPr>
          <w:p>
            <w:pPr>
              <w:spacing w:line="240" w:lineRule="exact"/>
              <w:rPr>
                <w:rFonts w:ascii="黑体" w:hAnsi="黑体" w:eastAsia="黑体"/>
                <w:sz w:val="18"/>
                <w:szCs w:val="18"/>
              </w:rPr>
            </w:pPr>
            <w:r>
              <w:rPr>
                <w:rFonts w:hint="eastAsia" w:ascii="黑体" w:hAnsi="黑体" w:eastAsia="黑体"/>
                <w:sz w:val="18"/>
                <w:szCs w:val="18"/>
              </w:rPr>
              <w:t>继续使用或者变现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0" w:hRule="atLeast"/>
          <w:jc w:val="center"/>
        </w:trPr>
        <w:tc>
          <w:tcPr>
            <w:tcW w:w="509" w:type="dxa"/>
            <w:vMerge w:val="continue"/>
            <w:tcBorders>
              <w:left w:val="single" w:color="4A7EBB" w:sz="6" w:space="0"/>
              <w:right w:val="single" w:color="4A7EBB" w:sz="6" w:space="0"/>
            </w:tcBorders>
            <w:vAlign w:val="center"/>
          </w:tcPr>
          <w:p>
            <w:pPr>
              <w:spacing w:line="240" w:lineRule="exact"/>
              <w:rPr>
                <w:rFonts w:ascii="黑体" w:hAnsi="黑体" w:eastAsia="黑体"/>
                <w:sz w:val="18"/>
                <w:szCs w:val="18"/>
              </w:rPr>
            </w:pPr>
          </w:p>
        </w:tc>
        <w:tc>
          <w:tcPr>
            <w:tcW w:w="851" w:type="dxa"/>
            <w:vMerge w:val="continue"/>
            <w:tcBorders>
              <w:left w:val="single" w:color="4A7EBB" w:sz="6" w:space="0"/>
              <w:right w:val="single" w:color="4A7EBB" w:sz="6" w:space="0"/>
            </w:tcBorders>
            <w:vAlign w:val="center"/>
          </w:tcPr>
          <w:p>
            <w:pPr>
              <w:spacing w:line="240" w:lineRule="exact"/>
              <w:rPr>
                <w:rFonts w:ascii="黑体" w:hAnsi="黑体" w:eastAsia="黑体"/>
                <w:sz w:val="18"/>
                <w:szCs w:val="18"/>
              </w:rPr>
            </w:pPr>
          </w:p>
        </w:tc>
        <w:tc>
          <w:tcPr>
            <w:tcW w:w="1207" w:type="dxa"/>
            <w:vMerge w:val="continue"/>
            <w:tcBorders>
              <w:left w:val="single" w:color="4A7EBB" w:sz="6" w:space="0"/>
              <w:right w:val="single" w:color="4A7EBB" w:sz="6" w:space="0"/>
            </w:tcBorders>
            <w:vAlign w:val="center"/>
          </w:tcPr>
          <w:p>
            <w:pPr>
              <w:spacing w:line="240" w:lineRule="exact"/>
              <w:rPr>
                <w:rFonts w:ascii="黑体" w:hAnsi="黑体" w:eastAsia="黑体"/>
                <w:sz w:val="18"/>
                <w:szCs w:val="18"/>
              </w:rPr>
            </w:pPr>
          </w:p>
        </w:tc>
        <w:tc>
          <w:tcPr>
            <w:tcW w:w="1821" w:type="dxa"/>
            <w:vMerge w:val="continue"/>
            <w:tcBorders>
              <w:left w:val="single" w:color="4A7EBB" w:sz="6" w:space="0"/>
              <w:right w:val="single" w:color="4A7EBB" w:sz="6" w:space="0"/>
            </w:tcBorders>
            <w:vAlign w:val="center"/>
          </w:tcPr>
          <w:p>
            <w:pPr>
              <w:spacing w:line="240" w:lineRule="exact"/>
              <w:rPr>
                <w:rFonts w:ascii="黑体" w:hAnsi="黑体" w:eastAsia="黑体"/>
                <w:sz w:val="18"/>
                <w:szCs w:val="18"/>
              </w:rPr>
            </w:pPr>
          </w:p>
        </w:tc>
        <w:tc>
          <w:tcPr>
            <w:tcW w:w="404" w:type="dxa"/>
            <w:tcBorders>
              <w:top w:val="single" w:color="4A7EBB" w:sz="6" w:space="0"/>
              <w:left w:val="single" w:color="4A7EBB" w:sz="6" w:space="0"/>
              <w:bottom w:val="single" w:color="4A7EBB" w:sz="6" w:space="0"/>
              <w:right w:val="single" w:color="4A7EBB" w:sz="6" w:space="0"/>
            </w:tcBorders>
            <w:tcMar>
              <w:top w:w="15" w:type="dxa"/>
              <w:left w:w="71" w:type="dxa"/>
              <w:bottom w:w="0" w:type="dxa"/>
              <w:right w:w="71" w:type="dxa"/>
            </w:tcMar>
            <w:vAlign w:val="center"/>
          </w:tcPr>
          <w:p>
            <w:pPr>
              <w:spacing w:line="240" w:lineRule="exact"/>
              <w:rPr>
                <w:rFonts w:ascii="黑体" w:hAnsi="黑体" w:eastAsia="黑体"/>
                <w:sz w:val="18"/>
                <w:szCs w:val="18"/>
              </w:rPr>
            </w:pPr>
            <w:r>
              <w:rPr>
                <w:rFonts w:hint="eastAsia" w:ascii="黑体" w:hAnsi="黑体" w:eastAsia="黑体"/>
                <w:sz w:val="18"/>
                <w:szCs w:val="18"/>
              </w:rPr>
              <w:t>2</w:t>
            </w:r>
          </w:p>
        </w:tc>
        <w:tc>
          <w:tcPr>
            <w:tcW w:w="3428" w:type="dxa"/>
            <w:tcBorders>
              <w:top w:val="single" w:color="4A7EBB" w:sz="6" w:space="0"/>
              <w:left w:val="single" w:color="4A7EBB" w:sz="6" w:space="0"/>
              <w:bottom w:val="single" w:color="4A7EBB" w:sz="6" w:space="0"/>
              <w:right w:val="single" w:color="4A7EBB" w:sz="6" w:space="0"/>
            </w:tcBorders>
            <w:tcMar>
              <w:top w:w="15" w:type="dxa"/>
              <w:left w:w="71" w:type="dxa"/>
              <w:bottom w:w="0" w:type="dxa"/>
              <w:right w:w="71" w:type="dxa"/>
            </w:tcMar>
            <w:vAlign w:val="center"/>
          </w:tcPr>
          <w:p>
            <w:pPr>
              <w:spacing w:line="240" w:lineRule="exact"/>
              <w:rPr>
                <w:rFonts w:ascii="黑体" w:hAnsi="黑体" w:eastAsia="黑体"/>
                <w:sz w:val="18"/>
                <w:szCs w:val="18"/>
              </w:rPr>
            </w:pPr>
            <w:r>
              <w:rPr>
                <w:rFonts w:hint="eastAsia" w:ascii="黑体" w:hAnsi="黑体" w:eastAsia="黑体"/>
                <w:sz w:val="18"/>
                <w:szCs w:val="18"/>
              </w:rPr>
              <w:t>原地使用或者移地使用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0" w:hRule="atLeast"/>
          <w:jc w:val="center"/>
        </w:trPr>
        <w:tc>
          <w:tcPr>
            <w:tcW w:w="509" w:type="dxa"/>
            <w:vMerge w:val="continue"/>
            <w:tcBorders>
              <w:left w:val="single" w:color="4A7EBB" w:sz="6" w:space="0"/>
              <w:right w:val="single" w:color="4A7EBB" w:sz="6" w:space="0"/>
            </w:tcBorders>
            <w:vAlign w:val="center"/>
          </w:tcPr>
          <w:p>
            <w:pPr>
              <w:spacing w:line="240" w:lineRule="exact"/>
              <w:rPr>
                <w:rFonts w:ascii="黑体" w:hAnsi="黑体" w:eastAsia="黑体"/>
                <w:sz w:val="18"/>
                <w:szCs w:val="18"/>
              </w:rPr>
            </w:pPr>
          </w:p>
        </w:tc>
        <w:tc>
          <w:tcPr>
            <w:tcW w:w="851" w:type="dxa"/>
            <w:vMerge w:val="continue"/>
            <w:tcBorders>
              <w:left w:val="single" w:color="4A7EBB" w:sz="6" w:space="0"/>
              <w:right w:val="single" w:color="4A7EBB" w:sz="6" w:space="0"/>
            </w:tcBorders>
            <w:vAlign w:val="center"/>
          </w:tcPr>
          <w:p>
            <w:pPr>
              <w:spacing w:line="240" w:lineRule="exact"/>
              <w:rPr>
                <w:rFonts w:ascii="黑体" w:hAnsi="黑体" w:eastAsia="黑体"/>
                <w:sz w:val="18"/>
                <w:szCs w:val="18"/>
              </w:rPr>
            </w:pPr>
          </w:p>
        </w:tc>
        <w:tc>
          <w:tcPr>
            <w:tcW w:w="1207" w:type="dxa"/>
            <w:vMerge w:val="continue"/>
            <w:tcBorders>
              <w:left w:val="single" w:color="4A7EBB" w:sz="6" w:space="0"/>
              <w:right w:val="single" w:color="4A7EBB" w:sz="6" w:space="0"/>
            </w:tcBorders>
            <w:vAlign w:val="center"/>
          </w:tcPr>
          <w:p>
            <w:pPr>
              <w:spacing w:line="240" w:lineRule="exact"/>
              <w:rPr>
                <w:rFonts w:ascii="黑体" w:hAnsi="黑体" w:eastAsia="黑体"/>
                <w:sz w:val="18"/>
                <w:szCs w:val="18"/>
              </w:rPr>
            </w:pPr>
          </w:p>
        </w:tc>
        <w:tc>
          <w:tcPr>
            <w:tcW w:w="1821" w:type="dxa"/>
            <w:vMerge w:val="continue"/>
            <w:tcBorders>
              <w:left w:val="single" w:color="4A7EBB" w:sz="6" w:space="0"/>
              <w:right w:val="single" w:color="4A7EBB" w:sz="6" w:space="0"/>
            </w:tcBorders>
            <w:vAlign w:val="center"/>
          </w:tcPr>
          <w:p>
            <w:pPr>
              <w:spacing w:line="240" w:lineRule="exact"/>
              <w:rPr>
                <w:rFonts w:ascii="黑体" w:hAnsi="黑体" w:eastAsia="黑体"/>
                <w:sz w:val="18"/>
                <w:szCs w:val="18"/>
              </w:rPr>
            </w:pPr>
          </w:p>
        </w:tc>
        <w:tc>
          <w:tcPr>
            <w:tcW w:w="404" w:type="dxa"/>
            <w:tcBorders>
              <w:top w:val="single" w:color="4A7EBB" w:sz="6" w:space="0"/>
              <w:left w:val="single" w:color="4A7EBB" w:sz="6" w:space="0"/>
              <w:bottom w:val="single" w:color="4A7EBB" w:sz="6" w:space="0"/>
              <w:right w:val="single" w:color="4A7EBB" w:sz="6" w:space="0"/>
            </w:tcBorders>
            <w:tcMar>
              <w:top w:w="15" w:type="dxa"/>
              <w:left w:w="71" w:type="dxa"/>
              <w:bottom w:w="0" w:type="dxa"/>
              <w:right w:w="71" w:type="dxa"/>
            </w:tcMar>
            <w:vAlign w:val="center"/>
          </w:tcPr>
          <w:p>
            <w:pPr>
              <w:spacing w:line="240" w:lineRule="exact"/>
              <w:rPr>
                <w:rFonts w:ascii="黑体" w:hAnsi="黑体" w:eastAsia="黑体"/>
                <w:sz w:val="18"/>
                <w:szCs w:val="18"/>
              </w:rPr>
            </w:pPr>
            <w:r>
              <w:rPr>
                <w:rFonts w:hint="eastAsia" w:ascii="黑体" w:hAnsi="黑体" w:eastAsia="黑体"/>
                <w:sz w:val="18"/>
                <w:szCs w:val="18"/>
              </w:rPr>
              <w:t>3</w:t>
            </w:r>
          </w:p>
        </w:tc>
        <w:tc>
          <w:tcPr>
            <w:tcW w:w="3428" w:type="dxa"/>
            <w:tcBorders>
              <w:top w:val="single" w:color="4A7EBB" w:sz="6" w:space="0"/>
              <w:left w:val="single" w:color="4A7EBB" w:sz="6" w:space="0"/>
              <w:bottom w:val="single" w:color="4A7EBB" w:sz="6" w:space="0"/>
              <w:right w:val="single" w:color="4A7EBB" w:sz="6" w:space="0"/>
            </w:tcBorders>
            <w:tcMar>
              <w:top w:w="15" w:type="dxa"/>
              <w:left w:w="71" w:type="dxa"/>
              <w:bottom w:w="0" w:type="dxa"/>
              <w:right w:w="71" w:type="dxa"/>
            </w:tcMar>
            <w:vAlign w:val="center"/>
          </w:tcPr>
          <w:p>
            <w:pPr>
              <w:spacing w:line="240" w:lineRule="exact"/>
              <w:rPr>
                <w:rFonts w:ascii="黑体" w:hAnsi="黑体" w:eastAsia="黑体"/>
                <w:sz w:val="18"/>
                <w:szCs w:val="18"/>
              </w:rPr>
            </w:pPr>
            <w:r>
              <w:rPr>
                <w:rFonts w:hint="eastAsia" w:ascii="黑体" w:hAnsi="黑体" w:eastAsia="黑体"/>
                <w:sz w:val="18"/>
                <w:szCs w:val="18"/>
              </w:rPr>
              <w:t>现行用途使用或者改变用途使用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0" w:hRule="atLeast"/>
          <w:jc w:val="center"/>
        </w:trPr>
        <w:tc>
          <w:tcPr>
            <w:tcW w:w="509" w:type="dxa"/>
            <w:tcBorders>
              <w:left w:val="single" w:color="4A7EBB" w:sz="6" w:space="0"/>
              <w:bottom w:val="single" w:color="000000" w:sz="8" w:space="0"/>
              <w:right w:val="single" w:color="4A7EBB" w:sz="6" w:space="0"/>
            </w:tcBorders>
            <w:vAlign w:val="center"/>
          </w:tcPr>
          <w:p>
            <w:pPr>
              <w:spacing w:line="240" w:lineRule="exact"/>
              <w:rPr>
                <w:rFonts w:ascii="黑体" w:hAnsi="黑体" w:eastAsia="黑体"/>
                <w:sz w:val="18"/>
                <w:szCs w:val="18"/>
              </w:rPr>
            </w:pPr>
          </w:p>
        </w:tc>
        <w:tc>
          <w:tcPr>
            <w:tcW w:w="851" w:type="dxa"/>
            <w:tcBorders>
              <w:left w:val="single" w:color="4A7EBB" w:sz="6" w:space="0"/>
              <w:bottom w:val="single" w:color="000000" w:sz="8" w:space="0"/>
              <w:right w:val="single" w:color="4A7EBB" w:sz="6" w:space="0"/>
            </w:tcBorders>
            <w:vAlign w:val="center"/>
          </w:tcPr>
          <w:p>
            <w:pPr>
              <w:spacing w:line="240" w:lineRule="exact"/>
              <w:rPr>
                <w:rFonts w:ascii="黑体" w:hAnsi="黑体" w:eastAsia="黑体"/>
                <w:sz w:val="18"/>
                <w:szCs w:val="18"/>
              </w:rPr>
            </w:pPr>
          </w:p>
        </w:tc>
        <w:tc>
          <w:tcPr>
            <w:tcW w:w="1207" w:type="dxa"/>
            <w:tcBorders>
              <w:left w:val="single" w:color="4A7EBB" w:sz="6" w:space="0"/>
              <w:bottom w:val="single" w:color="000000" w:sz="8" w:space="0"/>
              <w:right w:val="single" w:color="4A7EBB" w:sz="6" w:space="0"/>
            </w:tcBorders>
            <w:vAlign w:val="center"/>
          </w:tcPr>
          <w:p>
            <w:pPr>
              <w:spacing w:line="240" w:lineRule="exact"/>
              <w:rPr>
                <w:rFonts w:ascii="黑体" w:hAnsi="黑体" w:eastAsia="黑体"/>
                <w:sz w:val="18"/>
                <w:szCs w:val="18"/>
              </w:rPr>
            </w:pPr>
          </w:p>
        </w:tc>
        <w:tc>
          <w:tcPr>
            <w:tcW w:w="1821" w:type="dxa"/>
            <w:tcBorders>
              <w:left w:val="single" w:color="4A7EBB" w:sz="6" w:space="0"/>
              <w:bottom w:val="single" w:color="000000" w:sz="8" w:space="0"/>
              <w:right w:val="single" w:color="4A7EBB" w:sz="6" w:space="0"/>
            </w:tcBorders>
            <w:vAlign w:val="center"/>
          </w:tcPr>
          <w:p>
            <w:pPr>
              <w:spacing w:line="240" w:lineRule="exact"/>
              <w:rPr>
                <w:rFonts w:ascii="黑体" w:hAnsi="黑体" w:eastAsia="黑体"/>
                <w:sz w:val="18"/>
                <w:szCs w:val="18"/>
              </w:rPr>
            </w:pPr>
          </w:p>
        </w:tc>
        <w:tc>
          <w:tcPr>
            <w:tcW w:w="404" w:type="dxa"/>
            <w:tcBorders>
              <w:top w:val="single" w:color="4A7EBB" w:sz="6" w:space="0"/>
              <w:left w:val="single" w:color="4A7EBB" w:sz="6" w:space="0"/>
              <w:bottom w:val="single" w:color="000000" w:sz="8" w:space="0"/>
              <w:right w:val="single" w:color="4A7EBB" w:sz="6" w:space="0"/>
            </w:tcBorders>
            <w:tcMar>
              <w:top w:w="15" w:type="dxa"/>
              <w:left w:w="71" w:type="dxa"/>
              <w:bottom w:w="0" w:type="dxa"/>
              <w:right w:w="71" w:type="dxa"/>
            </w:tcMar>
            <w:vAlign w:val="center"/>
          </w:tcPr>
          <w:p>
            <w:pPr>
              <w:spacing w:line="240" w:lineRule="exact"/>
              <w:rPr>
                <w:rFonts w:ascii="黑体" w:hAnsi="黑体" w:eastAsia="黑体"/>
                <w:sz w:val="18"/>
                <w:szCs w:val="18"/>
              </w:rPr>
            </w:pPr>
            <w:r>
              <w:rPr>
                <w:rFonts w:hint="eastAsia" w:ascii="黑体" w:hAnsi="黑体" w:eastAsia="黑体"/>
                <w:sz w:val="18"/>
                <w:szCs w:val="18"/>
              </w:rPr>
              <w:t>4</w:t>
            </w:r>
          </w:p>
        </w:tc>
        <w:tc>
          <w:tcPr>
            <w:tcW w:w="3428" w:type="dxa"/>
            <w:tcBorders>
              <w:top w:val="single" w:color="4A7EBB" w:sz="6" w:space="0"/>
              <w:left w:val="single" w:color="4A7EBB" w:sz="6" w:space="0"/>
              <w:bottom w:val="single" w:color="000000" w:sz="8" w:space="0"/>
              <w:right w:val="single" w:color="4A7EBB" w:sz="6" w:space="0"/>
            </w:tcBorders>
            <w:tcMar>
              <w:top w:w="15" w:type="dxa"/>
              <w:left w:w="71" w:type="dxa"/>
              <w:bottom w:w="0" w:type="dxa"/>
              <w:right w:w="71" w:type="dxa"/>
            </w:tcMar>
            <w:vAlign w:val="center"/>
          </w:tcPr>
          <w:p>
            <w:pPr>
              <w:spacing w:line="240" w:lineRule="exact"/>
              <w:rPr>
                <w:rFonts w:ascii="黑体" w:hAnsi="黑体" w:eastAsia="黑体"/>
                <w:sz w:val="18"/>
                <w:szCs w:val="18"/>
              </w:rPr>
            </w:pPr>
            <w:r>
              <w:rPr>
                <w:rFonts w:hint="eastAsia" w:ascii="黑体" w:hAnsi="黑体" w:eastAsia="黑体"/>
                <w:sz w:val="18"/>
                <w:szCs w:val="18"/>
              </w:rPr>
              <w:t>其他假设（如资产用途）</w:t>
            </w:r>
          </w:p>
        </w:tc>
      </w:tr>
    </w:tbl>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但是，上述假设不是一个具体评估项目应当包括的假设。</w:t>
      </w:r>
    </w:p>
    <w:p>
      <w:pPr>
        <w:tabs>
          <w:tab w:val="left" w:pos="1985"/>
        </w:tabs>
        <w:spacing w:line="360" w:lineRule="auto"/>
        <w:ind w:firstLine="708" w:firstLineChars="224"/>
        <w:rPr>
          <w:rFonts w:ascii="仿宋_GB2312" w:hAnsi="Arial" w:eastAsia="仿宋_GB2312" w:cs="Arial"/>
          <w:b/>
          <w:bCs/>
          <w:spacing w:val="-2"/>
          <w:sz w:val="32"/>
          <w:szCs w:val="32"/>
        </w:rPr>
      </w:pPr>
      <w:r>
        <w:rPr>
          <w:rFonts w:hint="eastAsia" w:ascii="仿宋_GB2312" w:hAnsi="Arial" w:eastAsia="仿宋_GB2312" w:cs="Arial"/>
          <w:b/>
          <w:bCs/>
          <w:spacing w:val="-2"/>
          <w:sz w:val="32"/>
          <w:szCs w:val="32"/>
        </w:rPr>
        <w:t>三、评估假设使用</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1．评估</w:t>
      </w:r>
      <w:r>
        <w:rPr>
          <w:rFonts w:ascii="仿宋_GB2312" w:hAnsi="Arial" w:eastAsia="仿宋_GB2312" w:cs="Arial"/>
          <w:spacing w:val="-2"/>
          <w:sz w:val="32"/>
          <w:szCs w:val="32"/>
        </w:rPr>
        <w:t>假设使用</w:t>
      </w:r>
      <w:r>
        <w:rPr>
          <w:rFonts w:hint="eastAsia" w:ascii="仿宋_GB2312" w:hAnsi="Arial" w:eastAsia="仿宋_GB2312" w:cs="Arial"/>
          <w:spacing w:val="-2"/>
          <w:sz w:val="32"/>
          <w:szCs w:val="32"/>
        </w:rPr>
        <w:t>的基本</w:t>
      </w:r>
      <w:r>
        <w:rPr>
          <w:rFonts w:ascii="仿宋_GB2312" w:hAnsi="Arial" w:eastAsia="仿宋_GB2312" w:cs="Arial"/>
          <w:spacing w:val="-2"/>
          <w:sz w:val="32"/>
          <w:szCs w:val="32"/>
        </w:rPr>
        <w:t>原则</w:t>
      </w:r>
    </w:p>
    <w:p>
      <w:pPr>
        <w:tabs>
          <w:tab w:val="left" w:pos="1985"/>
        </w:tabs>
        <w:spacing w:line="360" w:lineRule="auto"/>
        <w:ind w:firstLine="708" w:firstLineChars="224"/>
        <w:rPr>
          <w:rFonts w:ascii="仿宋_GB2312" w:hAnsi="Arial" w:eastAsia="仿宋_GB2312" w:cs="Arial"/>
          <w:spacing w:val="-2"/>
          <w:sz w:val="32"/>
          <w:szCs w:val="32"/>
        </w:rPr>
      </w:pPr>
      <w:r>
        <w:rPr>
          <w:rFonts w:ascii="仿宋_GB2312" w:hAnsi="Arial" w:eastAsia="仿宋_GB2312" w:cs="Arial"/>
          <w:spacing w:val="-2"/>
          <w:sz w:val="32"/>
          <w:szCs w:val="32"/>
        </w:rPr>
        <w:t>合理性。使用的评估假设，都应建立在</w:t>
      </w:r>
      <w:r>
        <w:rPr>
          <w:rFonts w:hint="eastAsia" w:ascii="仿宋_GB2312" w:hAnsi="Arial" w:eastAsia="仿宋_GB2312" w:cs="Arial"/>
          <w:spacing w:val="-2"/>
          <w:sz w:val="32"/>
          <w:szCs w:val="32"/>
        </w:rPr>
        <w:t>一定依据、</w:t>
      </w:r>
      <w:r>
        <w:rPr>
          <w:rFonts w:ascii="仿宋_GB2312" w:hAnsi="Arial" w:eastAsia="仿宋_GB2312" w:cs="Arial"/>
          <w:spacing w:val="-2"/>
          <w:sz w:val="32"/>
          <w:szCs w:val="32"/>
        </w:rPr>
        <w:t>合理推断、逻辑推理的前提下，设定的假设都存在发生的可能性，假设不可能发生的情形，是不合理的假设；</w:t>
      </w:r>
    </w:p>
    <w:p>
      <w:pPr>
        <w:tabs>
          <w:tab w:val="left" w:pos="1985"/>
        </w:tabs>
        <w:spacing w:line="360" w:lineRule="auto"/>
        <w:ind w:firstLine="708" w:firstLineChars="224"/>
        <w:rPr>
          <w:rFonts w:ascii="仿宋_GB2312" w:hAnsi="Arial" w:eastAsia="仿宋_GB2312" w:cs="Arial"/>
          <w:spacing w:val="-2"/>
          <w:sz w:val="32"/>
          <w:szCs w:val="32"/>
        </w:rPr>
      </w:pPr>
      <w:r>
        <w:rPr>
          <w:rFonts w:ascii="仿宋_GB2312" w:hAnsi="Arial" w:eastAsia="仿宋_GB2312" w:cs="Arial"/>
          <w:spacing w:val="-2"/>
          <w:sz w:val="32"/>
          <w:szCs w:val="32"/>
        </w:rPr>
        <w:t>针对性。</w:t>
      </w:r>
      <w:r>
        <w:rPr>
          <w:rFonts w:hint="eastAsia" w:ascii="仿宋_GB2312" w:hAnsi="Arial" w:eastAsia="仿宋_GB2312" w:cs="Arial"/>
          <w:spacing w:val="-2"/>
          <w:sz w:val="32"/>
          <w:szCs w:val="32"/>
        </w:rPr>
        <w:t>评估假设与收益法评估中的未来</w:t>
      </w:r>
      <w:r>
        <w:rPr>
          <w:rFonts w:ascii="仿宋_GB2312" w:hAnsi="Arial" w:eastAsia="仿宋_GB2312" w:cs="Arial"/>
          <w:spacing w:val="-2"/>
          <w:sz w:val="32"/>
          <w:szCs w:val="32"/>
        </w:rPr>
        <w:t>收益预测</w:t>
      </w:r>
      <w:r>
        <w:rPr>
          <w:rFonts w:hint="eastAsia" w:ascii="仿宋_GB2312" w:hAnsi="Arial" w:eastAsia="仿宋_GB2312" w:cs="Arial"/>
          <w:spacing w:val="-2"/>
          <w:sz w:val="32"/>
          <w:szCs w:val="32"/>
        </w:rPr>
        <w:t>假设不同。</w:t>
      </w:r>
      <w:r>
        <w:rPr>
          <w:rFonts w:ascii="仿宋_GB2312" w:hAnsi="Arial" w:eastAsia="仿宋_GB2312" w:cs="Arial"/>
          <w:spacing w:val="-2"/>
          <w:sz w:val="32"/>
          <w:szCs w:val="32"/>
        </w:rPr>
        <w:t>对企业收益参数的预测存在确定基准，使用的评估假设应当</w:t>
      </w:r>
      <w:r>
        <w:rPr>
          <w:rFonts w:hint="eastAsia" w:ascii="仿宋_GB2312" w:hAnsi="Arial" w:eastAsia="仿宋_GB2312" w:cs="Arial"/>
          <w:spacing w:val="-2"/>
          <w:sz w:val="32"/>
          <w:szCs w:val="32"/>
        </w:rPr>
        <w:t>具有针对性，即</w:t>
      </w:r>
      <w:r>
        <w:rPr>
          <w:rFonts w:ascii="仿宋_GB2312" w:hAnsi="Arial" w:eastAsia="仿宋_GB2312" w:cs="Arial"/>
          <w:spacing w:val="-2"/>
          <w:sz w:val="32"/>
          <w:szCs w:val="32"/>
        </w:rPr>
        <w:t>针对具体</w:t>
      </w:r>
      <w:r>
        <w:rPr>
          <w:rFonts w:hint="eastAsia" w:ascii="仿宋_GB2312" w:hAnsi="Arial" w:eastAsia="仿宋_GB2312" w:cs="Arial"/>
          <w:spacing w:val="-2"/>
          <w:sz w:val="32"/>
          <w:szCs w:val="32"/>
        </w:rPr>
        <w:t>预测</w:t>
      </w:r>
      <w:r>
        <w:rPr>
          <w:rFonts w:ascii="仿宋_GB2312" w:hAnsi="Arial" w:eastAsia="仿宋_GB2312" w:cs="Arial"/>
          <w:spacing w:val="-2"/>
          <w:sz w:val="32"/>
          <w:szCs w:val="32"/>
        </w:rPr>
        <w:t>参数。如以企业销售收入一定比例预测管理费用的基准是企业经营管理方式不变；</w:t>
      </w:r>
    </w:p>
    <w:p>
      <w:pPr>
        <w:tabs>
          <w:tab w:val="left" w:pos="1985"/>
        </w:tabs>
        <w:spacing w:line="360" w:lineRule="auto"/>
        <w:ind w:firstLine="708" w:firstLineChars="224"/>
        <w:rPr>
          <w:rFonts w:ascii="仿宋_GB2312" w:hAnsi="Arial" w:eastAsia="仿宋_GB2312" w:cs="Arial"/>
          <w:spacing w:val="-2"/>
          <w:sz w:val="32"/>
          <w:szCs w:val="32"/>
        </w:rPr>
      </w:pPr>
      <w:r>
        <w:rPr>
          <w:rFonts w:ascii="仿宋_GB2312" w:hAnsi="Arial" w:eastAsia="仿宋_GB2312" w:cs="Arial"/>
          <w:spacing w:val="-2"/>
          <w:sz w:val="32"/>
          <w:szCs w:val="32"/>
        </w:rPr>
        <w:t>相关性。使用的评估假设与评估项目实际情况相关；与评估结论形成过程相关；</w:t>
      </w:r>
    </w:p>
    <w:p>
      <w:pPr>
        <w:tabs>
          <w:tab w:val="left" w:pos="1985"/>
        </w:tabs>
        <w:spacing w:line="360" w:lineRule="auto"/>
        <w:ind w:firstLine="708" w:firstLineChars="224"/>
        <w:rPr>
          <w:rFonts w:ascii="仿宋_GB2312" w:hAnsi="Arial" w:eastAsia="仿宋_GB2312" w:cs="Arial"/>
          <w:spacing w:val="-2"/>
          <w:sz w:val="32"/>
          <w:szCs w:val="32"/>
        </w:rPr>
      </w:pPr>
      <w:r>
        <w:rPr>
          <w:rFonts w:ascii="仿宋_GB2312" w:hAnsi="Arial" w:eastAsia="仿宋_GB2312" w:cs="Arial"/>
          <w:spacing w:val="-2"/>
          <w:sz w:val="32"/>
          <w:szCs w:val="32"/>
        </w:rPr>
        <w:t>全面性。使用的评估假设应当包括与评估结论形成相关的各个方面；</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2．评估</w:t>
      </w:r>
      <w:r>
        <w:rPr>
          <w:rFonts w:ascii="仿宋_GB2312" w:hAnsi="Arial" w:eastAsia="仿宋_GB2312" w:cs="Arial"/>
          <w:spacing w:val="-2"/>
          <w:sz w:val="32"/>
          <w:szCs w:val="32"/>
        </w:rPr>
        <w:t>假设使用考虑</w:t>
      </w:r>
      <w:r>
        <w:rPr>
          <w:rFonts w:hint="eastAsia" w:ascii="仿宋_GB2312" w:hAnsi="Arial" w:eastAsia="仿宋_GB2312" w:cs="Arial"/>
          <w:spacing w:val="-2"/>
          <w:sz w:val="32"/>
          <w:szCs w:val="32"/>
        </w:rPr>
        <w:t>的基本</w:t>
      </w:r>
      <w:r>
        <w:rPr>
          <w:rFonts w:ascii="仿宋_GB2312" w:hAnsi="Arial" w:eastAsia="仿宋_GB2312" w:cs="Arial"/>
          <w:spacing w:val="-2"/>
          <w:sz w:val="32"/>
          <w:szCs w:val="32"/>
        </w:rPr>
        <w:t>因素</w:t>
      </w:r>
    </w:p>
    <w:p>
      <w:pPr>
        <w:tabs>
          <w:tab w:val="left" w:pos="1985"/>
        </w:tabs>
        <w:spacing w:line="360" w:lineRule="auto"/>
        <w:ind w:firstLine="708" w:firstLineChars="224"/>
        <w:rPr>
          <w:rFonts w:ascii="仿宋_GB2312" w:hAnsi="Arial" w:eastAsia="仿宋_GB2312" w:cs="Arial"/>
          <w:spacing w:val="-2"/>
          <w:sz w:val="32"/>
          <w:szCs w:val="32"/>
        </w:rPr>
      </w:pPr>
      <w:r>
        <w:rPr>
          <w:rFonts w:ascii="仿宋_GB2312" w:hAnsi="Arial" w:eastAsia="仿宋_GB2312" w:cs="Arial"/>
          <w:spacing w:val="-2"/>
          <w:sz w:val="32"/>
          <w:szCs w:val="32"/>
        </w:rPr>
        <w:t>评估目的：不同的评估目的，市场环境条件、交易方式、企业存续状态、资产状态等不同，评估报告的作用以及评估结论的使用方式不同，设定评估假设应结合评估目的设定；</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评估对象：单项资产评估假设，适用于资产使用状态假设，企业价值评估假设，适用于企业经营状态假设。</w:t>
      </w:r>
    </w:p>
    <w:p>
      <w:pPr>
        <w:tabs>
          <w:tab w:val="left" w:pos="1985"/>
        </w:tabs>
        <w:spacing w:line="360" w:lineRule="auto"/>
        <w:ind w:firstLine="708" w:firstLineChars="224"/>
        <w:rPr>
          <w:rFonts w:ascii="仿宋_GB2312" w:hAnsi="Arial" w:eastAsia="仿宋_GB2312" w:cs="Arial"/>
          <w:spacing w:val="-2"/>
          <w:sz w:val="32"/>
          <w:szCs w:val="32"/>
        </w:rPr>
      </w:pPr>
      <w:r>
        <w:rPr>
          <w:rFonts w:ascii="仿宋_GB2312" w:hAnsi="Arial" w:eastAsia="仿宋_GB2312" w:cs="Arial"/>
          <w:spacing w:val="-2"/>
          <w:sz w:val="32"/>
          <w:szCs w:val="32"/>
        </w:rPr>
        <w:t>价值类型：不同的价值类型，市场交易条件不同</w:t>
      </w:r>
      <w:r>
        <w:rPr>
          <w:rFonts w:hint="eastAsia" w:ascii="仿宋_GB2312" w:hAnsi="Arial" w:eastAsia="仿宋_GB2312" w:cs="Arial"/>
          <w:spacing w:val="-2"/>
          <w:sz w:val="32"/>
          <w:szCs w:val="32"/>
        </w:rPr>
        <w:t>。</w:t>
      </w:r>
      <w:r>
        <w:rPr>
          <w:rFonts w:ascii="仿宋_GB2312" w:hAnsi="Arial" w:eastAsia="仿宋_GB2312" w:cs="Arial"/>
          <w:spacing w:val="-2"/>
          <w:sz w:val="32"/>
          <w:szCs w:val="32"/>
        </w:rPr>
        <w:t>如使用投资价值类型评估并购标的企业价值，应设定企业并购方式和并购后整合措施</w:t>
      </w:r>
      <w:r>
        <w:rPr>
          <w:rFonts w:hint="eastAsia" w:ascii="仿宋_GB2312" w:hAnsi="Arial" w:eastAsia="仿宋_GB2312" w:cs="Arial"/>
          <w:spacing w:val="-2"/>
          <w:sz w:val="32"/>
          <w:szCs w:val="32"/>
        </w:rPr>
        <w:t>且如期实现</w:t>
      </w:r>
      <w:r>
        <w:rPr>
          <w:rFonts w:ascii="仿宋_GB2312" w:hAnsi="Arial" w:eastAsia="仿宋_GB2312" w:cs="Arial"/>
          <w:spacing w:val="-2"/>
          <w:sz w:val="32"/>
          <w:szCs w:val="32"/>
        </w:rPr>
        <w:t xml:space="preserve">，作为协同效应价值估算的前提；如使用清算价值类型评估企业债务价值，应设定企业终止经营后，资产被迫出售、快速变现等市场条件，作为资产变现价值估算的前提； </w:t>
      </w:r>
    </w:p>
    <w:p>
      <w:pPr>
        <w:tabs>
          <w:tab w:val="left" w:pos="1985"/>
        </w:tabs>
        <w:spacing w:line="360" w:lineRule="auto"/>
        <w:ind w:firstLine="708" w:firstLineChars="224"/>
        <w:rPr>
          <w:rFonts w:ascii="仿宋_GB2312" w:hAnsi="Arial" w:eastAsia="仿宋_GB2312" w:cs="Arial"/>
          <w:spacing w:val="-2"/>
          <w:sz w:val="32"/>
          <w:szCs w:val="32"/>
        </w:rPr>
      </w:pPr>
      <w:r>
        <w:rPr>
          <w:rFonts w:ascii="仿宋_GB2312" w:hAnsi="Arial" w:eastAsia="仿宋_GB2312" w:cs="Arial"/>
          <w:spacing w:val="-2"/>
          <w:sz w:val="32"/>
          <w:szCs w:val="32"/>
        </w:rPr>
        <w:t>评估方法：不同的评估方法，适用前提不同，如市场法应设定市场的有效性、活跃性、确定可比性标准前提下的交易实例等作为前提；收益法应设定企业按现行经营模式和规模持续经营；</w:t>
      </w:r>
    </w:p>
    <w:p>
      <w:pPr>
        <w:tabs>
          <w:tab w:val="left" w:pos="1985"/>
        </w:tabs>
        <w:spacing w:line="360" w:lineRule="auto"/>
        <w:ind w:firstLine="708" w:firstLineChars="224"/>
        <w:rPr>
          <w:rFonts w:ascii="仿宋_GB2312" w:hAnsi="Arial" w:eastAsia="仿宋_GB2312" w:cs="Arial"/>
          <w:spacing w:val="-2"/>
          <w:sz w:val="32"/>
          <w:szCs w:val="32"/>
        </w:rPr>
      </w:pPr>
      <w:r>
        <w:rPr>
          <w:rFonts w:ascii="仿宋_GB2312" w:hAnsi="Arial" w:eastAsia="仿宋_GB2312" w:cs="Arial"/>
          <w:spacing w:val="-2"/>
          <w:sz w:val="32"/>
          <w:szCs w:val="32"/>
        </w:rPr>
        <w:t>评估资料：评估资料的是否完整是一个相对概念，评估资料必要性是一个绝对概念，必要的评估资料是评估的前提条件，依据不同的评估资料有时会得出不同的评估结论，评估依据的数据资料的完整性存在不确定性，评估应设定资料完整性的假设；</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3．如何合理使用A类、B类评估假设</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针对一个国家（或地区）的所有行业、所有企业的，如对于政治、经济、文化体制及相关政策货币政策（利率）、汇率财政政策的不变的假设，境内评估项目，评估实务中可作为“一般假设”；境外评估项目，建议分析资产（企业）所在地政治、经济、文化体制及相关政策货币政策（利率）、汇率财政政策的变化，不能机械作为“一般使用”，有时可能成为C类或B类假设。</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针对同一行业（或地区）的所有企业的，如产业政策 、行业准入 、差别利率 、区域经济政策（新区、开发区、振兴区） 、环保、土地等政策的不变的假设，境内评估项目，评估实务中可作为“一般假设”；境外评估项目或一些特殊的境内项目，建议分析资产（企业）所在行业政策的变化，不能机械作为“一般使用”，有时可能成为C类或B类假设。</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4．如何合理使用C类评估假设</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委托方假设的使用：</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区别于历史和现实的企业投（融）资规划和生产经营计划决策及其实施结果，不是评估能够推断和预计的。评估时，从是否符合宏观经济政策、产业政策、投资来源、市场潜力，企业管理经营团队是否能够保证企业投（融）资规划和生产计划的实施等方面判断，确信委托方假设及依次进行的预测的合理性，直接作为评估假设。</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【例1】某工业生产企业未达产，但制定有明确的达产投资计划，经分析企业投资符合国家产业政策，投资来源落实，收益预测假设可假设企业达产。反之，收益预测假设可假设企业按现状产能生产。</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推测性假设的使用：</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是针对评估对象实体、法律、经济属性方面不确定性；资产市场条件与趋势的外部环境不确定性，选择发生概率最大的一种的情形。</w:t>
      </w:r>
      <w:r>
        <w:rPr>
          <w:rFonts w:ascii="仿宋_GB2312"/>
          <w:sz w:val="32"/>
          <w:szCs w:val="32"/>
        </w:rPr>
        <w:footnoteReference w:id="0"/>
      </w:r>
      <w:r>
        <w:rPr>
          <w:rFonts w:hint="eastAsia" w:ascii="仿宋_GB2312" w:hAnsi="Arial" w:eastAsia="仿宋_GB2312" w:cs="Arial"/>
          <w:spacing w:val="-2"/>
          <w:sz w:val="32"/>
          <w:szCs w:val="32"/>
        </w:rPr>
        <w:t>未来情形存在多种可能性时，选择最有可能发生或发生概率最大的情形作为评估前提，是最常见的评估假设。</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例2】某企业享受所有税优惠政策，但享受年限短于评估收益年限，优惠政策到期后，有两种可能性，一种是继续享受，一种是不继续享受。评估分析认为没有不继续享受的证据或理由，亦即享受所得税优惠的可能性较大，收益预测假设可假设企业继续享受所得税优惠政策。反之，评估分析认为没有继续享受的证据或理由，亦即享受所得税优惠的可能性不大，收益预测假设可假设企业享受所得税优惠政策到期后按税法规定计税。</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例3】某药品生产企业，产能充足，因行业竞争激烈、药品销售网络缺陷、销售模式不符合市场变化，历史经营收益状况不佳。企业股权转让评估时，评估假设企业改进销售网络缺陷、优化销售模式等，缺乏假设依据，假设推理不正确。</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例4】某火力发电企业价值评估，已取得相关部门上网电价批复，并按此进行上产经营，收益法评估收益预测可假设电价政策不变，电价不变。反之，评估假设电力政策调整，电价上涨，缺乏假设依据，假设推理不正确。</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【例5】某评估项目，评估按照企业提供的预测资料进行，并假设企业未来按照企业提出的计划如期实现，是假设的假设，缺乏假设依据，假设推理不符合实际。</w:t>
      </w:r>
    </w:p>
    <w:p>
      <w:pPr>
        <w:tabs>
          <w:tab w:val="left" w:pos="1985"/>
        </w:tabs>
        <w:spacing w:line="360" w:lineRule="auto"/>
        <w:ind w:firstLine="708" w:firstLineChars="224"/>
        <w:rPr>
          <w:rFonts w:ascii="仿宋_GB2312" w:hAnsi="Arial" w:eastAsia="仿宋_GB2312" w:cs="Arial"/>
          <w:spacing w:val="-2"/>
          <w:sz w:val="32"/>
          <w:szCs w:val="32"/>
        </w:rPr>
      </w:pPr>
      <w:r>
        <w:rPr>
          <w:rFonts w:ascii="仿宋_GB2312" w:hAnsi="Arial" w:eastAsia="仿宋_GB2312" w:cs="Arial"/>
          <w:spacing w:val="-2"/>
          <w:sz w:val="32"/>
          <w:szCs w:val="32"/>
        </w:rPr>
        <w:t>交易方式</w:t>
      </w:r>
      <w:r>
        <w:rPr>
          <w:rFonts w:hint="eastAsia" w:ascii="仿宋_GB2312" w:hAnsi="Arial" w:eastAsia="仿宋_GB2312" w:cs="Arial"/>
          <w:spacing w:val="-2"/>
          <w:sz w:val="32"/>
          <w:szCs w:val="32"/>
        </w:rPr>
        <w:t>假设的使用</w:t>
      </w:r>
      <w:r>
        <w:rPr>
          <w:rFonts w:ascii="仿宋_GB2312" w:hAnsi="Arial" w:eastAsia="仿宋_GB2312" w:cs="Arial"/>
          <w:spacing w:val="-2"/>
          <w:sz w:val="32"/>
          <w:szCs w:val="32"/>
        </w:rPr>
        <w:t>：</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评估对象交易方式包括</w:t>
      </w:r>
      <w:r>
        <w:rPr>
          <w:rFonts w:ascii="仿宋_GB2312" w:hAnsi="Arial" w:eastAsia="仿宋_GB2312" w:cs="Arial"/>
          <w:spacing w:val="-2"/>
          <w:sz w:val="32"/>
          <w:szCs w:val="32"/>
        </w:rPr>
        <w:t>公开市场、非公开市场；</w:t>
      </w:r>
      <w:r>
        <w:rPr>
          <w:rFonts w:hint="eastAsia" w:ascii="仿宋_GB2312" w:hAnsi="Arial" w:eastAsia="仿宋_GB2312" w:cs="Arial"/>
          <w:spacing w:val="-2"/>
          <w:sz w:val="32"/>
          <w:szCs w:val="32"/>
        </w:rPr>
        <w:t>正常交易、强制出售。评估对象交易方式决定了评估目的，决定了价值类型，不同的交易方式评估结论不同。评估对象交易方式假设的使用，一般主要考虑评估目的和价值类型。</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【例6】某企业并购项目投资价值评估，并购企业制定了并购方案及并购整合措施，对并购标的公司的投资价值评估使用两个假设：（1）投资并购方案实现。（2）并购整合如期实现。</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例7】某企业破产清算评估项目，清算组制定、并经债权人会议表决通过的清算方案，在限定时间内处置可变现资产，对可变现资产评估，可假设为强制出售。反之，没有时间限定的处置可变现资产，对可变现资产评估，可假设为正常市场出售。</w:t>
      </w:r>
    </w:p>
    <w:p>
      <w:pPr>
        <w:tabs>
          <w:tab w:val="left" w:pos="1985"/>
        </w:tabs>
        <w:spacing w:line="360" w:lineRule="auto"/>
        <w:ind w:firstLine="708" w:firstLineChars="224"/>
        <w:rPr>
          <w:rFonts w:ascii="仿宋_GB2312" w:hAnsi="Arial" w:eastAsia="仿宋_GB2312" w:cs="Arial"/>
          <w:spacing w:val="-2"/>
          <w:sz w:val="32"/>
          <w:szCs w:val="32"/>
        </w:rPr>
      </w:pPr>
      <w:r>
        <w:rPr>
          <w:rFonts w:ascii="仿宋_GB2312" w:hAnsi="Arial" w:eastAsia="仿宋_GB2312" w:cs="Arial"/>
          <w:spacing w:val="-2"/>
          <w:sz w:val="32"/>
          <w:szCs w:val="32"/>
        </w:rPr>
        <w:t>企业存续状态</w:t>
      </w:r>
      <w:r>
        <w:rPr>
          <w:rFonts w:hint="eastAsia" w:ascii="仿宋_GB2312" w:hAnsi="Arial" w:eastAsia="仿宋_GB2312" w:cs="Arial"/>
          <w:spacing w:val="-2"/>
          <w:sz w:val="32"/>
          <w:szCs w:val="32"/>
        </w:rPr>
        <w:t>假设的使用</w:t>
      </w:r>
      <w:r>
        <w:rPr>
          <w:rFonts w:ascii="仿宋_GB2312" w:hAnsi="Arial" w:eastAsia="仿宋_GB2312" w:cs="Arial"/>
          <w:spacing w:val="-2"/>
          <w:sz w:val="32"/>
          <w:szCs w:val="32"/>
        </w:rPr>
        <w:t>：</w:t>
      </w:r>
      <w:r>
        <w:rPr>
          <w:rFonts w:hint="eastAsia" w:ascii="仿宋_GB2312" w:hAnsi="Arial" w:eastAsia="仿宋_GB2312" w:cs="Arial"/>
          <w:spacing w:val="-2"/>
          <w:sz w:val="32"/>
          <w:szCs w:val="32"/>
        </w:rPr>
        <w:t>企业存续状态一般包括</w:t>
      </w:r>
      <w:r>
        <w:rPr>
          <w:rFonts w:ascii="仿宋_GB2312" w:hAnsi="Arial" w:eastAsia="仿宋_GB2312" w:cs="Arial"/>
          <w:spacing w:val="-2"/>
          <w:sz w:val="32"/>
          <w:szCs w:val="32"/>
        </w:rPr>
        <w:t>持续经营、产权主体变动、破产清算、结业清算、改变经营方式、调整产品结构、改变主营业务等</w:t>
      </w:r>
      <w:r>
        <w:rPr>
          <w:rFonts w:hint="eastAsia" w:ascii="仿宋_GB2312" w:hAnsi="Arial" w:eastAsia="仿宋_GB2312" w:cs="Arial"/>
          <w:spacing w:val="-2"/>
          <w:sz w:val="32"/>
          <w:szCs w:val="32"/>
        </w:rPr>
        <w:t>。</w:t>
      </w:r>
      <w:r>
        <w:rPr>
          <w:rFonts w:ascii="仿宋_GB2312" w:hAnsi="Arial" w:eastAsia="仿宋_GB2312" w:cs="Arial"/>
          <w:spacing w:val="-2"/>
          <w:sz w:val="32"/>
          <w:szCs w:val="32"/>
        </w:rPr>
        <w:t>企业存续状态</w:t>
      </w:r>
      <w:r>
        <w:rPr>
          <w:rFonts w:hint="eastAsia" w:ascii="仿宋_GB2312" w:hAnsi="Arial" w:eastAsia="仿宋_GB2312" w:cs="Arial"/>
          <w:spacing w:val="-2"/>
          <w:sz w:val="32"/>
          <w:szCs w:val="32"/>
        </w:rPr>
        <w:t>与评估目的关系密切。企业存续状态假设的使用，一般考虑评估目的，也考虑价值类型。</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【例8】某企业具有持续稳定的经营历史及财务记录，企业未来收益预测中，以管理费用占销售收入的比例历史数据，作为未来管理费用预测，评估假设可为企业不改变生产经营管理方式，不改变企业管理模式。</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【例9】某金融不良资产处置评估项目，采用假设清算法评估，选择清算价值类型，对各可变现资产的可变现净值的评估，评估假设可为企业清算、资产变现处置。</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【例10】某企业境外并购评估项目，选择投资价值类型对标的企业价值进行评估，标的企业预期收益预测，可假设标的企业按并购完成且整合后的生产经营方式并以此持续经营。</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例11】某矿业公司拟通过资产重组进入上市公司，企业实际生产中，采矿采取外包方式，评估基准日企业已经开始研究改变外包采矿为自行采矿方式，企业价值评估收益预测中，评估假设可为企业按自行采矿方式并以此持续经营。反之，评估假设可为企业按现行实际采矿外包方式并以此持续经营。</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例12】某企业收购评估项目，标的公司采用收入分成比例与其控股股东结算收入方式经营，收购后不再采用收入分成比例方式，采用收益法评估标的公司企业价值，收益预测假设，可为假设继续采用收入分成比例方式经营假设。</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例13】某铜矿矿业公司股权转让，原生产产品为原矿石，评估基准日时已开始建设选矿厂，生产铜精矿。该投资计划符合产业政策、投资来源可靠，企业管理经营团队能够保证铜精矿生产经营，收益预测假设可为假设企业生产铜精矿。反之，该投资不确定，或企业管理经营团队不能够保证铜精矿生产经营，收益预测假设可为假设企业继续生产铜原矿石持续经营。</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5．如何合理使用D类评估假设</w:t>
      </w:r>
    </w:p>
    <w:p>
      <w:pPr>
        <w:tabs>
          <w:tab w:val="left" w:pos="1985"/>
        </w:tabs>
        <w:spacing w:line="360" w:lineRule="auto"/>
        <w:ind w:firstLine="708" w:firstLineChars="224"/>
        <w:rPr>
          <w:rFonts w:ascii="仿宋_GB2312" w:hAnsi="Arial" w:eastAsia="仿宋_GB2312" w:cs="Arial"/>
          <w:spacing w:val="-2"/>
          <w:sz w:val="32"/>
          <w:szCs w:val="32"/>
        </w:rPr>
      </w:pPr>
      <w:r>
        <w:rPr>
          <w:rFonts w:ascii="仿宋_GB2312" w:hAnsi="Arial" w:eastAsia="仿宋_GB2312" w:cs="Arial"/>
          <w:spacing w:val="-2"/>
          <w:sz w:val="32"/>
          <w:szCs w:val="32"/>
        </w:rPr>
        <w:t>资产</w:t>
      </w:r>
      <w:r>
        <w:rPr>
          <w:rFonts w:hint="eastAsia" w:ascii="仿宋_GB2312" w:hAnsi="Arial" w:eastAsia="仿宋_GB2312" w:cs="Arial"/>
          <w:spacing w:val="-2"/>
          <w:sz w:val="32"/>
          <w:szCs w:val="32"/>
        </w:rPr>
        <w:t>使用</w:t>
      </w:r>
      <w:r>
        <w:rPr>
          <w:rFonts w:ascii="仿宋_GB2312" w:hAnsi="Arial" w:eastAsia="仿宋_GB2312" w:cs="Arial"/>
          <w:spacing w:val="-2"/>
          <w:sz w:val="32"/>
          <w:szCs w:val="32"/>
        </w:rPr>
        <w:t>状态</w:t>
      </w:r>
      <w:r>
        <w:rPr>
          <w:rFonts w:hint="eastAsia" w:ascii="仿宋_GB2312" w:hAnsi="Arial" w:eastAsia="仿宋_GB2312" w:cs="Arial"/>
          <w:spacing w:val="-2"/>
          <w:sz w:val="32"/>
          <w:szCs w:val="32"/>
        </w:rPr>
        <w:t>假设的使用</w:t>
      </w:r>
      <w:r>
        <w:rPr>
          <w:rFonts w:ascii="仿宋_GB2312" w:hAnsi="Arial" w:eastAsia="仿宋_GB2312" w:cs="Arial"/>
          <w:spacing w:val="-2"/>
          <w:sz w:val="32"/>
          <w:szCs w:val="32"/>
        </w:rPr>
        <w:t>：</w:t>
      </w:r>
      <w:r>
        <w:rPr>
          <w:rFonts w:hint="eastAsia" w:ascii="仿宋_GB2312" w:hAnsi="Arial" w:eastAsia="仿宋_GB2312" w:cs="Arial"/>
          <w:spacing w:val="-2"/>
          <w:sz w:val="32"/>
          <w:szCs w:val="32"/>
        </w:rPr>
        <w:t>资产使用状态的假设一般包括继续使用或者变现；原地使用或者移地使用；现行用途使用或者改变用途使用等。资产使用状态假设的使用，一般主要考虑评估目的设定，有时也考虑委托方的要求。多用于机器设备、房地产等单项资产的评估。</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更新重置成本评估时，对资产建造材料、建筑标准、设计、规格等要求与建造时不同，不是资产使用状态的假设。</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例14】某企业因城市建设规划搬迁，涉及对企业资产补偿和收益损失补偿评估，评估假设企业持续经营至所配置资产经济寿命结束的企业价值；涉及搬迁企业价值评估，企业制定有搬迁后生产工艺优化和生产规模、生产经营方式的调整计划，对其拥有的机器设备，评估假设为撤除变现；涉及搬迁企业价值评估，企业按原有生产工艺、生产规模、生产经营方式经营，对其拥有并正常使用的机器设备，评估假设可为继续、移地、按现行用途使用。</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【例15】某工业企业合法并拥有的土地使用权，国有土地使用权使用证载用途为工业用地，实际用途为商业。评估假设可为商业用地用途。</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【例16】某国有土地使用权宗地所在区域规划正在修编，评估国有土地使用权可假设按原规划条件。如规划条件已经明确，评估国有土地使用权可假设按新的规划条件。</w:t>
      </w:r>
    </w:p>
    <w:p>
      <w:pPr>
        <w:tabs>
          <w:tab w:val="left" w:pos="1985"/>
        </w:tabs>
        <w:spacing w:line="360" w:lineRule="auto"/>
        <w:ind w:firstLine="708" w:firstLineChars="224"/>
        <w:rPr>
          <w:rFonts w:ascii="仿宋_GB2312" w:hAnsi="Arial" w:eastAsia="仿宋_GB2312" w:cs="Arial"/>
          <w:b/>
          <w:bCs/>
          <w:spacing w:val="-2"/>
          <w:sz w:val="32"/>
          <w:szCs w:val="32"/>
        </w:rPr>
      </w:pPr>
      <w:r>
        <w:rPr>
          <w:rFonts w:hint="eastAsia" w:ascii="仿宋_GB2312" w:hAnsi="Arial" w:eastAsia="仿宋_GB2312" w:cs="Arial"/>
          <w:b/>
          <w:bCs/>
          <w:spacing w:val="-2"/>
          <w:sz w:val="32"/>
          <w:szCs w:val="32"/>
        </w:rPr>
        <w:t>四、评估假设披露</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1．</w:t>
      </w:r>
      <w:r>
        <w:rPr>
          <w:rFonts w:ascii="仿宋_GB2312" w:hAnsi="Arial" w:eastAsia="仿宋_GB2312" w:cs="Arial"/>
          <w:spacing w:val="-2"/>
          <w:sz w:val="32"/>
          <w:szCs w:val="32"/>
        </w:rPr>
        <w:t>充分披露资产评估中所依据和使用的评估假设既是</w:t>
      </w:r>
      <w:r>
        <w:rPr>
          <w:rFonts w:hint="eastAsia" w:ascii="仿宋_GB2312" w:hAnsi="Arial" w:eastAsia="仿宋_GB2312" w:cs="Arial"/>
          <w:spacing w:val="-2"/>
          <w:sz w:val="32"/>
          <w:szCs w:val="32"/>
        </w:rPr>
        <w:t>编制</w:t>
      </w:r>
      <w:r>
        <w:rPr>
          <w:rFonts w:ascii="仿宋_GB2312" w:hAnsi="Arial" w:eastAsia="仿宋_GB2312" w:cs="Arial"/>
          <w:spacing w:val="-2"/>
          <w:sz w:val="32"/>
          <w:szCs w:val="32"/>
        </w:rPr>
        <w:t>评估报告的基本要求，也是评估报告使用者正确理解和使用评估结论的必备条件。</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2．资产评估报告评估假设，建议披露A类假设、B类假设；企业价值评估收益预测，建议披露C类假设；单项资产评估假设，建议选择披露D类假设。</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3．C类、D类评估假设披露，包括评估结论形成所采用的评估假设及其对评估结论的影响，以及评估结论成立的评估假设（或假设前提）</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4．建议在</w:t>
      </w:r>
      <w:r>
        <w:rPr>
          <w:rFonts w:ascii="仿宋_GB2312" w:hAnsi="Arial" w:eastAsia="仿宋_GB2312" w:cs="Arial"/>
          <w:spacing w:val="-2"/>
          <w:sz w:val="32"/>
          <w:szCs w:val="32"/>
        </w:rPr>
        <w:t>评估报告中说明如果</w:t>
      </w:r>
      <w:r>
        <w:rPr>
          <w:rFonts w:hint="eastAsia" w:ascii="仿宋_GB2312" w:hAnsi="Arial" w:eastAsia="仿宋_GB2312" w:cs="Arial"/>
          <w:spacing w:val="-2"/>
          <w:sz w:val="32"/>
          <w:szCs w:val="32"/>
        </w:rPr>
        <w:t>评估</w:t>
      </w:r>
      <w:r>
        <w:rPr>
          <w:rFonts w:ascii="仿宋_GB2312" w:hAnsi="Arial" w:eastAsia="仿宋_GB2312" w:cs="Arial"/>
          <w:spacing w:val="-2"/>
          <w:sz w:val="32"/>
          <w:szCs w:val="32"/>
        </w:rPr>
        <w:t>假设</w:t>
      </w:r>
      <w:r>
        <w:rPr>
          <w:rFonts w:hint="eastAsia" w:ascii="仿宋_GB2312" w:hAnsi="Arial" w:eastAsia="仿宋_GB2312" w:cs="Arial"/>
          <w:spacing w:val="-2"/>
          <w:sz w:val="32"/>
          <w:szCs w:val="32"/>
        </w:rPr>
        <w:t>改变</w:t>
      </w:r>
      <w:r>
        <w:rPr>
          <w:rFonts w:ascii="仿宋_GB2312" w:hAnsi="Arial" w:eastAsia="仿宋_GB2312" w:cs="Arial"/>
          <w:spacing w:val="-2"/>
          <w:sz w:val="32"/>
          <w:szCs w:val="32"/>
        </w:rPr>
        <w:t>，将对评估</w:t>
      </w:r>
      <w:r>
        <w:rPr>
          <w:rFonts w:hint="eastAsia" w:ascii="仿宋_GB2312" w:hAnsi="Arial" w:eastAsia="仿宋_GB2312" w:cs="Arial"/>
          <w:spacing w:val="-2"/>
          <w:sz w:val="32"/>
          <w:szCs w:val="32"/>
        </w:rPr>
        <w:t>结论</w:t>
      </w:r>
      <w:r>
        <w:rPr>
          <w:rFonts w:ascii="仿宋_GB2312" w:hAnsi="Arial" w:eastAsia="仿宋_GB2312" w:cs="Arial"/>
          <w:spacing w:val="-2"/>
          <w:sz w:val="32"/>
          <w:szCs w:val="32"/>
        </w:rPr>
        <w:t>产生重大影响。</w:t>
      </w:r>
    </w:p>
    <w:p>
      <w:pPr>
        <w:tabs>
          <w:tab w:val="left" w:pos="1985"/>
        </w:tabs>
        <w:spacing w:line="360" w:lineRule="auto"/>
        <w:ind w:firstLine="708" w:firstLineChars="224"/>
        <w:rPr>
          <w:rFonts w:ascii="仿宋_GB2312" w:hAnsi="Arial" w:eastAsia="仿宋_GB2312" w:cs="Arial"/>
          <w:spacing w:val="-2"/>
          <w:sz w:val="32"/>
          <w:szCs w:val="32"/>
        </w:rPr>
      </w:pPr>
      <w:r>
        <w:rPr>
          <w:rFonts w:ascii="仿宋_GB2312" w:hAnsi="Arial" w:eastAsia="仿宋_GB2312" w:cs="Arial"/>
          <w:spacing w:val="-2"/>
          <w:sz w:val="32"/>
          <w:szCs w:val="32"/>
        </w:rPr>
        <w:t>本专家提示是以评估实践为基础，针对</w:t>
      </w:r>
      <w:r>
        <w:rPr>
          <w:rFonts w:hint="eastAsia" w:ascii="仿宋_GB2312" w:hAnsi="Arial" w:eastAsia="仿宋_GB2312" w:cs="Arial"/>
          <w:spacing w:val="-2"/>
          <w:sz w:val="32"/>
          <w:szCs w:val="32"/>
        </w:rPr>
        <w:t>评估假设使用和披露</w:t>
      </w:r>
      <w:r>
        <w:rPr>
          <w:rFonts w:ascii="仿宋_GB2312" w:hAnsi="Arial" w:eastAsia="仿宋_GB2312" w:cs="Arial"/>
          <w:spacing w:val="-2"/>
          <w:sz w:val="32"/>
          <w:szCs w:val="32"/>
        </w:rPr>
        <w:t>提出的建议。</w:t>
      </w:r>
      <w:r>
        <w:rPr>
          <w:rFonts w:hint="eastAsia" w:ascii="仿宋_GB2312" w:hAnsi="Arial" w:eastAsia="仿宋_GB2312" w:cs="Arial"/>
          <w:spacing w:val="-2"/>
          <w:sz w:val="32"/>
          <w:szCs w:val="32"/>
        </w:rPr>
        <w:t>其中的示例仅供相关内容理解使用，建议不要套用。</w:t>
      </w:r>
      <w:r>
        <w:rPr>
          <w:rFonts w:ascii="仿宋_GB2312" w:hAnsi="Arial" w:eastAsia="仿宋_GB2312" w:cs="Arial"/>
          <w:spacing w:val="-2"/>
          <w:sz w:val="32"/>
          <w:szCs w:val="32"/>
        </w:rPr>
        <w:t>本专家提示不涉及</w:t>
      </w:r>
      <w:r>
        <w:rPr>
          <w:rFonts w:hint="eastAsia" w:ascii="仿宋_GB2312" w:hAnsi="Arial" w:eastAsia="仿宋_GB2312" w:cs="Arial"/>
          <w:spacing w:val="-2"/>
          <w:sz w:val="32"/>
          <w:szCs w:val="32"/>
        </w:rPr>
        <w:t>对评估准则中评估假设规范的修正或解释</w:t>
      </w:r>
      <w:r>
        <w:rPr>
          <w:rFonts w:ascii="仿宋_GB2312" w:hAnsi="Arial" w:eastAsia="仿宋_GB2312" w:cs="Arial"/>
          <w:spacing w:val="-2"/>
          <w:sz w:val="32"/>
          <w:szCs w:val="32"/>
        </w:rPr>
        <w:t>。</w:t>
      </w:r>
    </w:p>
    <w:p>
      <w:pPr>
        <w:tabs>
          <w:tab w:val="left" w:pos="1985"/>
        </w:tabs>
        <w:spacing w:line="360" w:lineRule="auto"/>
        <w:ind w:firstLine="708" w:firstLineChars="224"/>
        <w:rPr>
          <w:rFonts w:ascii="仿宋_GB2312" w:hAnsi="Arial" w:eastAsia="仿宋_GB2312" w:cs="Arial"/>
          <w:spacing w:val="-2"/>
          <w:sz w:val="32"/>
          <w:szCs w:val="32"/>
        </w:rPr>
      </w:pPr>
      <w:r>
        <w:rPr>
          <w:rFonts w:ascii="仿宋_GB2312" w:hAnsi="Arial" w:eastAsia="仿宋_GB2312" w:cs="Arial"/>
          <w:spacing w:val="-2"/>
          <w:sz w:val="32"/>
          <w:szCs w:val="32"/>
        </w:rPr>
        <w:br w:type="page"/>
      </w:r>
    </w:p>
    <w:p>
      <w:pPr>
        <w:spacing w:before="624" w:beforeLines="200" w:line="360" w:lineRule="auto"/>
        <w:jc w:val="center"/>
        <w:rPr>
          <w:rFonts w:ascii="华文中宋" w:hAnsi="华文中宋" w:eastAsia="华文中宋" w:cs="Arial"/>
          <w:sz w:val="44"/>
          <w:szCs w:val="44"/>
        </w:rPr>
      </w:pPr>
      <w:r>
        <w:rPr>
          <w:rFonts w:hint="eastAsia" w:ascii="华文中宋" w:hAnsi="华文中宋" w:eastAsia="华文中宋" w:cs="Arial"/>
          <w:sz w:val="44"/>
          <w:szCs w:val="44"/>
        </w:rPr>
        <w:t>《</w:t>
      </w:r>
      <w:r>
        <w:rPr>
          <w:rFonts w:ascii="华文中宋" w:hAnsi="华文中宋" w:eastAsia="华文中宋" w:cs="Arial"/>
          <w:sz w:val="44"/>
          <w:szCs w:val="44"/>
        </w:rPr>
        <w:t>资产评估操作专家提示——评估假设的使用与披露</w:t>
      </w:r>
      <w:r>
        <w:rPr>
          <w:rFonts w:hint="eastAsia" w:ascii="华文中宋" w:hAnsi="华文中宋" w:eastAsia="华文中宋" w:cs="Arial"/>
          <w:sz w:val="44"/>
          <w:szCs w:val="44"/>
        </w:rPr>
        <w:t>（征求意见稿）》起草说明</w:t>
      </w:r>
    </w:p>
    <w:p>
      <w:pPr>
        <w:autoSpaceDE w:val="0"/>
        <w:autoSpaceDN w:val="0"/>
        <w:adjustRightInd w:val="0"/>
        <w:snapToGrid w:val="0"/>
        <w:spacing w:before="468" w:beforeLines="150" w:line="360" w:lineRule="auto"/>
        <w:ind w:firstLine="560" w:firstLineChars="200"/>
        <w:rPr>
          <w:rFonts w:ascii="Times New Roman" w:hAnsi="Times New Roman" w:eastAsia="仿宋_GB2312" w:cs="Times New Roman"/>
          <w:sz w:val="28"/>
          <w:szCs w:val="28"/>
        </w:rPr>
      </w:pP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为保证评估业务质量，防范评估执业风险，指导评估假设的使用和披露行为，中国资产评估协会组织起草了《资产评估操作专家提示——评估假设的使用与披露》。现将有关起草情况说明如下。</w:t>
      </w:r>
    </w:p>
    <w:p>
      <w:pPr>
        <w:tabs>
          <w:tab w:val="left" w:pos="1985"/>
        </w:tabs>
        <w:spacing w:line="360" w:lineRule="auto"/>
        <w:ind w:firstLine="708" w:firstLineChars="224"/>
        <w:rPr>
          <w:rFonts w:ascii="仿宋_GB2312" w:hAnsi="Arial" w:eastAsia="仿宋_GB2312" w:cs="Arial"/>
          <w:b/>
          <w:bCs/>
          <w:spacing w:val="-2"/>
          <w:sz w:val="32"/>
          <w:szCs w:val="32"/>
        </w:rPr>
      </w:pPr>
      <w:r>
        <w:rPr>
          <w:rFonts w:hint="eastAsia" w:ascii="仿宋_GB2312" w:hAnsi="Arial" w:eastAsia="仿宋_GB2312" w:cs="Arial"/>
          <w:b/>
          <w:bCs/>
          <w:spacing w:val="-2"/>
          <w:sz w:val="32"/>
          <w:szCs w:val="32"/>
        </w:rPr>
        <w:t>一、制定《资产评估操作专家提示——评估假设的使用与披露》的必要性</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在评估执业过程中，评估人员面对不断变化的市场，以及不断变化着的影响资产价值的种种因素，需要借助适当的假设，将市场条件及影响资产价值的相关不确定因素暂时“凝固”在某种状态下，以便对资产价值进行判断，否则无法形成价值意见。因此，评估假设是评估服务的重要基础，离开评估假设，评估人员将无法完成评估业务。做出合理的评估假设是各国评估界对评估人员执业的基本要求之一。</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相关监管部门一直高度重视评估假设。包括上市公司并购重组评估项目、企业国有资产评估项目在内的评估项目监管部门，对于使用收益法对企业价值进行评估，特别是与账面价值相比评估增值较大的评估项目，一直十分关注使用的评估假设是否合理，在审核评估项目中也提出要求解释评估假设使用的合理性。</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评估假设的研究相对薄弱。国外对评估假设的研究比较系统成熟，特别是对于评估假设内涵的理解、还有评估假设层次的界定，研究的较为深入。如美国评估准则（USPAP）指出，资产评估的特定前提是直接与某一具体评价项目在其评价结果生效日的情况相关的前提假设，它排除了所评估财产的实体、法律和经济属性方面的不确定性，或是排除了财产市场条件或趋势这些外部环境的不确定性，或是否定了评估分析中所使用数据资料完整性方面的不确定性，设定上述要素都是确实的。英国皇家特许测量师学会的《评估准则》中，明确定义了假设及特殊假设的内涵，指出：评估无需专门调查即可合理认定为真实的某些事项可作为假设，应就可能包含在评估报告中的假设与客户达成一致并将其包含在约定条款中。</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评估准则对评估假设有原则性规范，但就指导评估实践而言，急需细化，特别是如何使用评估假设。我国也不断对评估假设进行研究，但重点研究假设的分类。对于评估假设的合理性，如何使用评估假设等研究较少。目前发布实施的26项评估准则中有21项对评估假设做出了原则要求。对合理使用假设做了统一的、明确的规定，在操作要求方面也做了合理使用评估假设的提示性规定，在评估披露方面，也要求披露“评估假设及其对评估结论的影响”。但对于如何具体使用、如何披露评估假设，没有具体规范。</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评估实践中，评估假设的使用和披露形式化。经过对2007年到2013年上半年的1298份评估报告的随机抽查和分析表明， 2009年下半年自《企业国有资产评估报告指南》发布实施后， 95%评估报告列示了公开市场假设、持续经营假设和交易假设；收益法评估说明，列示了宏观经济环境、汇率、利率、企业经营班子尽职尽责等评估假设；单项资产评估说明有30%左右披露了资产评估假设。但也不难发现，评估假设仅为罗列评估假设；评估报告和评估说明中的假设简单重复；评估假设高度雷同，千篇一律；基本上未披露评估假设的影响；评估假设未体现与经济行为的相关性；评估假设与评估对象缺乏相关性；评估假设与价值类型、评估方法没有关联性。</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因此，无论从评估理论、评估监管、评估实践、评估准则等方面，都存在进一步细化规范的必要性。归纳假设的一般规律、做出假设的应用提示体系，对于推动评估实践的规范化，提升评估实践的专业性，进一步提升评估专业的社会公信力，具有重大的现实意义。对于进一步完善评估准则体系，具有十分重要的意义。对于完善中国资产评估理论体系，具有一定的推动作用。</w:t>
      </w:r>
    </w:p>
    <w:p>
      <w:pPr>
        <w:tabs>
          <w:tab w:val="left" w:pos="1985"/>
        </w:tabs>
        <w:spacing w:line="360" w:lineRule="auto"/>
        <w:ind w:firstLine="708" w:firstLineChars="224"/>
        <w:rPr>
          <w:rFonts w:ascii="仿宋_GB2312" w:hAnsi="Arial" w:eastAsia="仿宋_GB2312" w:cs="Arial"/>
          <w:b/>
          <w:bCs/>
          <w:spacing w:val="-2"/>
          <w:sz w:val="32"/>
          <w:szCs w:val="32"/>
        </w:rPr>
      </w:pPr>
      <w:r>
        <w:rPr>
          <w:rFonts w:hint="eastAsia" w:ascii="仿宋_GB2312" w:hAnsi="Arial" w:eastAsia="仿宋_GB2312" w:cs="Arial"/>
          <w:b/>
          <w:bCs/>
          <w:spacing w:val="-2"/>
          <w:sz w:val="32"/>
          <w:szCs w:val="32"/>
        </w:rPr>
        <w:t>二、起草《资产评估操作专家提示——评估假设的使用与披露》的指导思想</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 xml:space="preserve">1. 明确定位，相互协调。评估假设是已经发布的评估准则规定的重要原则规范内容之一，也是评估执业过程中所普遍面临的评估操作问题，特别是如何使用和披露评估假设，需要进一步细化完善。因此，《资产评估操作专家提示——评估假设的使用与披露》是对已经发布评估准则评估假设原则规定的进一步细化。具体来说，在对评估假设进行分类的基础上，对评估假设使用和操作和披露问题，进行较为详细的提示。 </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2、立足实践，分类规范。评估假设是全方位的。在评估实践中，每一个环节都隐含和显现评估假设。如何合理使用评估假设、充分披露评估假设，需要从评估实践角度，提出专家意见。</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3、增强可操作性，减少过多的原则规范。评估实践中，对于评估假设，一直是评估人员非常关注的问题，特别是收益预测领域。目前，评估实践中的做法也五花八门，披露的内容也千差万别。因此，为了解决评估实践中的问题，降低、减少甚至避免评估执业风险，采用专家提示的方式，细化的、操作性的规范方式，明确评估人员使用和披露评估假设问题等，不但能够指导评估人员恰当使用评估假设的实践操作，更为重要的是增加评估专业公信力和评估结论的说服力。</w:t>
      </w:r>
    </w:p>
    <w:p>
      <w:pPr>
        <w:tabs>
          <w:tab w:val="left" w:pos="1985"/>
        </w:tabs>
        <w:spacing w:line="360" w:lineRule="auto"/>
        <w:ind w:firstLine="708" w:firstLineChars="224"/>
        <w:rPr>
          <w:rFonts w:ascii="仿宋_GB2312" w:hAnsi="Arial" w:eastAsia="仿宋_GB2312" w:cs="Arial"/>
          <w:b/>
          <w:bCs/>
          <w:spacing w:val="-2"/>
          <w:sz w:val="32"/>
          <w:szCs w:val="32"/>
        </w:rPr>
      </w:pPr>
      <w:r>
        <w:rPr>
          <w:rFonts w:hint="eastAsia" w:ascii="仿宋_GB2312" w:hAnsi="Arial" w:eastAsia="仿宋_GB2312" w:cs="Arial"/>
          <w:b/>
          <w:bCs/>
          <w:spacing w:val="-2"/>
          <w:sz w:val="32"/>
          <w:szCs w:val="32"/>
        </w:rPr>
        <w:t>三、起草过程</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2014年2月，中国资产评估协会启动《资产评估操作专家提示——评估假设的使用与披露》项目。项目组首先对国外相关资料进行收集、翻译、研究和筛选，并对国内情况进行了研究，包括：（1）相关文献；（2）已发布资产评估准则中关于评估假设条款；（3）与资产评估行业相类似的注册会计师行业相关条款；（4）评估实务工作总结。在此基础上，先后组织业内专家进行讨论修改，集思广益。2014年10月形成征求意见稿。</w:t>
      </w:r>
    </w:p>
    <w:p>
      <w:pPr>
        <w:tabs>
          <w:tab w:val="left" w:pos="1985"/>
        </w:tabs>
        <w:spacing w:line="360" w:lineRule="auto"/>
        <w:ind w:firstLine="708" w:firstLineChars="224"/>
        <w:rPr>
          <w:rFonts w:ascii="仿宋_GB2312" w:hAnsi="Arial" w:eastAsia="仿宋_GB2312" w:cs="Arial"/>
          <w:b/>
          <w:bCs/>
          <w:spacing w:val="-2"/>
          <w:sz w:val="32"/>
          <w:szCs w:val="32"/>
        </w:rPr>
      </w:pPr>
      <w:r>
        <w:rPr>
          <w:rFonts w:hint="eastAsia" w:ascii="仿宋_GB2312" w:hAnsi="Arial" w:eastAsia="仿宋_GB2312" w:cs="Arial"/>
          <w:b/>
          <w:bCs/>
          <w:spacing w:val="-2"/>
          <w:sz w:val="32"/>
          <w:szCs w:val="32"/>
        </w:rPr>
        <w:t>四、主要内容</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本专家提示包括“评估假设理解”、 “评估假设类型”、“评估假设使用”、“评估假设披露”四个部分的内容。</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“评估假设理解”的主要内容包括：评估假设的概念，评估假设的作用，收益预测假设的作用等。</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“评估假设类型”，提出了评估实务操作分类。包括按照评估中使用的假设主体分类；按照假设实现可能性（或概率）分类；按照假设对象分类（</w:t>
      </w:r>
      <w:r>
        <w:rPr>
          <w:rFonts w:ascii="仿宋_GB2312" w:hAnsi="Arial" w:eastAsia="仿宋_GB2312" w:cs="Arial"/>
          <w:spacing w:val="-2"/>
          <w:sz w:val="32"/>
          <w:szCs w:val="32"/>
        </w:rPr>
        <w:t>市场环境</w:t>
      </w:r>
      <w:r>
        <w:rPr>
          <w:rFonts w:hint="eastAsia" w:ascii="仿宋_GB2312" w:hAnsi="Arial" w:eastAsia="仿宋_GB2312" w:cs="Arial"/>
          <w:spacing w:val="-2"/>
          <w:sz w:val="32"/>
          <w:szCs w:val="32"/>
        </w:rPr>
        <w:t>、</w:t>
      </w:r>
      <w:r>
        <w:rPr>
          <w:rFonts w:ascii="仿宋_GB2312" w:hAnsi="Arial" w:eastAsia="仿宋_GB2312" w:cs="Arial"/>
          <w:spacing w:val="-2"/>
          <w:sz w:val="32"/>
          <w:szCs w:val="32"/>
        </w:rPr>
        <w:t>交易方式</w:t>
      </w:r>
      <w:r>
        <w:rPr>
          <w:rFonts w:hint="eastAsia" w:ascii="仿宋_GB2312" w:hAnsi="Arial" w:eastAsia="仿宋_GB2312" w:cs="Arial"/>
          <w:spacing w:val="-2"/>
          <w:sz w:val="32"/>
          <w:szCs w:val="32"/>
        </w:rPr>
        <w:t>、</w:t>
      </w:r>
      <w:r>
        <w:rPr>
          <w:rFonts w:ascii="仿宋_GB2312" w:hAnsi="Arial" w:eastAsia="仿宋_GB2312" w:cs="Arial"/>
          <w:spacing w:val="-2"/>
          <w:sz w:val="32"/>
          <w:szCs w:val="32"/>
        </w:rPr>
        <w:t>企业存续状态</w:t>
      </w:r>
      <w:r>
        <w:rPr>
          <w:rFonts w:hint="eastAsia" w:ascii="仿宋_GB2312" w:hAnsi="Arial" w:eastAsia="仿宋_GB2312" w:cs="Arial"/>
          <w:spacing w:val="-2"/>
          <w:sz w:val="32"/>
          <w:szCs w:val="32"/>
        </w:rPr>
        <w:t>、</w:t>
      </w:r>
      <w:r>
        <w:rPr>
          <w:rFonts w:ascii="仿宋_GB2312" w:hAnsi="Arial" w:eastAsia="仿宋_GB2312" w:cs="Arial"/>
          <w:spacing w:val="-2"/>
          <w:sz w:val="32"/>
          <w:szCs w:val="32"/>
        </w:rPr>
        <w:t>资产状态</w:t>
      </w:r>
      <w:r>
        <w:rPr>
          <w:rFonts w:hint="eastAsia" w:ascii="仿宋_GB2312" w:hAnsi="Arial" w:eastAsia="仿宋_GB2312" w:cs="Arial"/>
          <w:spacing w:val="-2"/>
          <w:sz w:val="32"/>
          <w:szCs w:val="32"/>
        </w:rPr>
        <w:t>）资料真实性。</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评估假设使用”，在评估假设分类的基础上，提出了评估假设使用的基本原则、考虑的基本因素。对针对性假设如何合理使用，如针对委托方假设、推测性假设、市场环境假设、交易方式假设、企业存续状态假设、强制出售假设、资产使用状态假设、资料真实性假设，进行了操作性提示。</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“评估假设披露”，提出了</w:t>
      </w:r>
      <w:r>
        <w:rPr>
          <w:rFonts w:ascii="仿宋_GB2312" w:hAnsi="Arial" w:eastAsia="仿宋_GB2312" w:cs="Arial"/>
          <w:spacing w:val="-2"/>
          <w:sz w:val="32"/>
          <w:szCs w:val="32"/>
        </w:rPr>
        <w:t>资产评估报告披露评估假设</w:t>
      </w:r>
      <w:r>
        <w:rPr>
          <w:rFonts w:hint="eastAsia" w:ascii="仿宋_GB2312" w:hAnsi="Arial" w:eastAsia="仿宋_GB2312" w:cs="Arial"/>
          <w:spacing w:val="-2"/>
          <w:sz w:val="32"/>
          <w:szCs w:val="32"/>
        </w:rPr>
        <w:t>注意要点。</w:t>
      </w:r>
    </w:p>
    <w:p>
      <w:pPr>
        <w:tabs>
          <w:tab w:val="left" w:pos="1985"/>
        </w:tabs>
        <w:spacing w:line="360" w:lineRule="auto"/>
        <w:ind w:firstLine="708" w:firstLineChars="224"/>
        <w:rPr>
          <w:rFonts w:ascii="仿宋_GB2312" w:hAnsi="Arial" w:eastAsia="仿宋_GB2312" w:cs="Arial"/>
          <w:b/>
          <w:bCs/>
          <w:spacing w:val="-2"/>
          <w:sz w:val="32"/>
          <w:szCs w:val="32"/>
        </w:rPr>
      </w:pPr>
      <w:bookmarkStart w:id="0" w:name="_GoBack"/>
      <w:r>
        <w:rPr>
          <w:rFonts w:hint="eastAsia" w:ascii="仿宋_GB2312" w:hAnsi="Arial" w:eastAsia="仿宋_GB2312" w:cs="Arial"/>
          <w:b/>
          <w:bCs/>
          <w:spacing w:val="-2"/>
          <w:sz w:val="32"/>
          <w:szCs w:val="32"/>
        </w:rPr>
        <w:t>五、重要事项的说明</w:t>
      </w:r>
    </w:p>
    <w:bookmarkEnd w:id="0"/>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1关于评估假设分类</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目前，评估理论界对评估假设的研究，主要集中在评估假设的分类方面，但未形成认识相对一致的看法或结论。有的认为，</w:t>
      </w:r>
      <w:r>
        <w:rPr>
          <w:rFonts w:ascii="仿宋_GB2312" w:hAnsi="Arial" w:eastAsia="仿宋_GB2312" w:cs="Arial"/>
          <w:spacing w:val="-2"/>
          <w:sz w:val="32"/>
          <w:szCs w:val="32"/>
        </w:rPr>
        <w:t>评估假设应包括公开市场假设、持续经营假设和清算假设</w:t>
      </w:r>
      <w:r>
        <w:rPr>
          <w:rFonts w:hint="eastAsia" w:ascii="仿宋_GB2312" w:hAnsi="Arial" w:eastAsia="仿宋_GB2312" w:cs="Arial"/>
          <w:spacing w:val="-2"/>
          <w:sz w:val="32"/>
          <w:szCs w:val="32"/>
        </w:rPr>
        <w:t>；有的认为</w:t>
      </w:r>
      <w:r>
        <w:rPr>
          <w:rFonts w:ascii="仿宋_GB2312" w:hAnsi="Arial" w:eastAsia="仿宋_GB2312" w:cs="Arial"/>
          <w:spacing w:val="-2"/>
          <w:sz w:val="32"/>
          <w:szCs w:val="32"/>
        </w:rPr>
        <w:t>评估假设应</w:t>
      </w:r>
      <w:r>
        <w:rPr>
          <w:rFonts w:hint="eastAsia" w:ascii="仿宋_GB2312" w:hAnsi="Arial" w:eastAsia="仿宋_GB2312" w:cs="Arial"/>
          <w:spacing w:val="-2"/>
          <w:sz w:val="32"/>
          <w:szCs w:val="32"/>
        </w:rPr>
        <w:t>包括</w:t>
      </w:r>
      <w:r>
        <w:rPr>
          <w:rFonts w:ascii="仿宋_GB2312" w:hAnsi="Arial" w:eastAsia="仿宋_GB2312" w:cs="Arial"/>
          <w:spacing w:val="-2"/>
          <w:sz w:val="32"/>
          <w:szCs w:val="32"/>
        </w:rPr>
        <w:t>持续经营假设、产权主体利益变动假设和有效市场假设</w:t>
      </w:r>
      <w:r>
        <w:rPr>
          <w:rFonts w:hint="eastAsia" w:ascii="仿宋_GB2312" w:hAnsi="Arial" w:eastAsia="仿宋_GB2312" w:cs="Arial"/>
          <w:spacing w:val="-2"/>
          <w:sz w:val="32"/>
          <w:szCs w:val="32"/>
        </w:rPr>
        <w:t>；有的认为</w:t>
      </w:r>
      <w:r>
        <w:rPr>
          <w:rFonts w:ascii="仿宋_GB2312" w:hAnsi="Arial" w:eastAsia="仿宋_GB2312" w:cs="Arial"/>
          <w:spacing w:val="-2"/>
          <w:sz w:val="32"/>
          <w:szCs w:val="32"/>
        </w:rPr>
        <w:t>评估基本假设应该分利益主体变动假设、资产持续经营假设、有效市场存在假设和理性评估行为假设</w:t>
      </w:r>
      <w:r>
        <w:rPr>
          <w:rFonts w:hint="eastAsia" w:ascii="仿宋_GB2312" w:hAnsi="Arial" w:eastAsia="仿宋_GB2312" w:cs="Arial"/>
          <w:spacing w:val="-2"/>
          <w:sz w:val="32"/>
          <w:szCs w:val="32"/>
        </w:rPr>
        <w:t>，</w:t>
      </w:r>
      <w:r>
        <w:rPr>
          <w:rFonts w:ascii="仿宋_GB2312" w:hAnsi="Arial" w:eastAsia="仿宋_GB2312" w:cs="Arial"/>
          <w:spacing w:val="-2"/>
          <w:sz w:val="32"/>
          <w:szCs w:val="32"/>
        </w:rPr>
        <w:t>这一观点的特点是将人的行为假设作为资产评估的基本假设之一</w:t>
      </w:r>
      <w:r>
        <w:rPr>
          <w:rFonts w:hint="eastAsia" w:ascii="仿宋_GB2312" w:hAnsi="Arial" w:eastAsia="仿宋_GB2312" w:cs="Arial"/>
          <w:spacing w:val="-2"/>
          <w:sz w:val="32"/>
          <w:szCs w:val="32"/>
        </w:rPr>
        <w:t>；有的学者</w:t>
      </w:r>
      <w:r>
        <w:rPr>
          <w:rFonts w:ascii="仿宋_GB2312" w:hAnsi="Arial" w:eastAsia="仿宋_GB2312" w:cs="Arial"/>
          <w:spacing w:val="-2"/>
          <w:sz w:val="32"/>
          <w:szCs w:val="32"/>
        </w:rPr>
        <w:t>将评估假设列为交易假设、公开市场假设、持续使用假设和清算假设四种</w:t>
      </w:r>
      <w:r>
        <w:rPr>
          <w:rFonts w:hint="eastAsia" w:ascii="仿宋_GB2312" w:hAnsi="Arial" w:eastAsia="仿宋_GB2312" w:cs="Arial"/>
          <w:spacing w:val="-2"/>
          <w:sz w:val="32"/>
          <w:szCs w:val="32"/>
        </w:rPr>
        <w:t>，</w:t>
      </w:r>
      <w:r>
        <w:rPr>
          <w:rFonts w:ascii="仿宋_GB2312" w:hAnsi="Arial" w:eastAsia="仿宋_GB2312" w:cs="Arial"/>
          <w:spacing w:val="-2"/>
          <w:sz w:val="32"/>
          <w:szCs w:val="32"/>
        </w:rPr>
        <w:t>这种划分与全国评估</w:t>
      </w:r>
      <w:r>
        <w:rPr>
          <w:rFonts w:hint="eastAsia" w:ascii="仿宋_GB2312" w:hAnsi="Arial" w:eastAsia="仿宋_GB2312" w:cs="Arial"/>
          <w:spacing w:val="-2"/>
          <w:sz w:val="32"/>
          <w:szCs w:val="32"/>
        </w:rPr>
        <w:t>师</w:t>
      </w:r>
      <w:r>
        <w:rPr>
          <w:rFonts w:ascii="仿宋_GB2312" w:hAnsi="Arial" w:eastAsia="仿宋_GB2312" w:cs="Arial"/>
          <w:spacing w:val="-2"/>
          <w:sz w:val="32"/>
          <w:szCs w:val="32"/>
        </w:rPr>
        <w:t>考试用书上列示的四个基本假设基本相同</w:t>
      </w:r>
      <w:r>
        <w:rPr>
          <w:rFonts w:hint="eastAsia" w:ascii="仿宋_GB2312" w:hAnsi="Arial" w:eastAsia="仿宋_GB2312" w:cs="Arial"/>
          <w:spacing w:val="-2"/>
          <w:sz w:val="32"/>
          <w:szCs w:val="32"/>
        </w:rPr>
        <w:t>；有学者</w:t>
      </w:r>
      <w:r>
        <w:rPr>
          <w:rFonts w:ascii="仿宋_GB2312" w:hAnsi="Arial" w:eastAsia="仿宋_GB2312" w:cs="Arial"/>
          <w:spacing w:val="-2"/>
          <w:sz w:val="32"/>
          <w:szCs w:val="32"/>
        </w:rPr>
        <w:t>将评估假设分为两个层次和三个假设，第一层次是存在假设即交易假设，第二个层次是拟进入的市场条件即公开市场假设和资产使用状态即持续使用假设。其分析体现了逻辑上的一致性和层次性。</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评估假设在评估师考试用书《资产评估学》的第一章总论的第三节专门做了阐述，“资产评估中的假设可以从不同角度分类，其中，按照假设设定的条件内容分类，评估假设可以划分为情景假设、市场条件假设、评估对象使用方式及状态假设和其他条件假设。另外，按照假设评估基准日时的真实性情况划分，评估假设又可以被划分为真实性假设、非真实性条件假设和特别假设”。</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资产评估准则——评估报告准则讲解》提出：评估所使用的假设包括了评估前提假设、评估环境假设、资产利用程度假设、资产使用范围假设、资产利用效果假设等。讲解中把评估假设分为了前提假设和其他假设，并列举了部分假设事项。《讲解》重在报告中评估假设的披露，而不是假设本身的研究。</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对评估假设进行一个细化的、科学的分类，是评估假设使用和披露的重要基础。但目前看来，在该专家提示中提出一个认识一致的评估假设分类，较为困难。我们仅从评估实践的角度、增加该提示操作性的角度，提出多角度的分类方式，主要考虑了全面性。</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2、关于评估假设的合理性</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评估假设的合理性，是评估假设最为最要的问题，也是一个十分复杂的问题。对评估实践来说，做出何种评估假设才是合理的，首先需要一个假设合理性的标准作为基础。但是，我们认识到，不同类型的假设，其合理性判断不能是同一个标准，而同一个假设在不同评估目的、不同价值类型、不同评估对象的合理性又不同。在本专家提示中提出一个评估假设合理性的概念，提出一套较为细化的合理性标准，十分困难。因此，本专家提示提出了一个评估假设合理性标准的基本原则。</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3、关于评估假设的使用提示</w:t>
      </w:r>
    </w:p>
    <w:p>
      <w:pPr>
        <w:tabs>
          <w:tab w:val="left" w:pos="1985"/>
        </w:tabs>
        <w:spacing w:line="360" w:lineRule="auto"/>
        <w:ind w:firstLine="708" w:firstLineChars="224"/>
        <w:rPr>
          <w:rFonts w:ascii="仿宋_GB2312" w:hAnsi="Arial" w:eastAsia="仿宋_GB2312" w:cs="Arial"/>
          <w:spacing w:val="-2"/>
          <w:sz w:val="32"/>
          <w:szCs w:val="32"/>
        </w:rPr>
      </w:pPr>
      <w:r>
        <w:rPr>
          <w:rFonts w:hint="eastAsia" w:ascii="仿宋_GB2312" w:hAnsi="Arial" w:eastAsia="仿宋_GB2312" w:cs="Arial"/>
          <w:spacing w:val="-2"/>
          <w:sz w:val="32"/>
          <w:szCs w:val="32"/>
        </w:rPr>
        <w:t>研究制定本专家提示的根本目的，就是提出各种不同的假设如何使用供评估实践参考。而某一评估假设如何使用，又与不同评估业务相关，即评估假设使用与不同的评估目的、不同价值类型和不同评估对象等紧密相关。因此，关于评估假设的使用专家提示内容，由“评估假设使用要点”和“示例”两部分构成。特别指出，“示例”仅仅为帮助理解，不能套用，使用相应评估假设时，需要结合评估项目的具体情况分析使用。</w:t>
      </w:r>
    </w:p>
    <w:p>
      <w:pPr>
        <w:tabs>
          <w:tab w:val="left" w:pos="1985"/>
        </w:tabs>
        <w:spacing w:line="360" w:lineRule="auto"/>
        <w:ind w:firstLine="708" w:firstLineChars="224"/>
        <w:rPr>
          <w:rFonts w:ascii="仿宋_GB2312" w:hAnsi="Arial" w:eastAsia="仿宋_GB2312" w:cs="Arial"/>
          <w:spacing w:val="-2"/>
          <w:sz w:val="32"/>
          <w:szCs w:val="32"/>
        </w:rPr>
      </w:pPr>
    </w:p>
    <w:sectPr>
      <w:footerReference r:id="rId5" w:type="default"/>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Pr>
        <w:pStyle w:val="7"/>
      </w:pPr>
      <w:r>
        <w:rPr>
          <w:rStyle w:val="11"/>
        </w:rPr>
        <w:footnoteRef/>
      </w:r>
      <w:r>
        <w:t xml:space="preserve"> </w:t>
      </w:r>
      <w:r>
        <w:rPr>
          <w:rFonts w:hint="eastAsia"/>
        </w:rPr>
        <w:t>如：某企业享受的具有一定期限的税收优惠政策，到期时可能享受和不享受的可能性均存在的情况下，假设继续享受税收优惠。</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81586D"/>
    <w:rsid w:val="00004D71"/>
    <w:rsid w:val="00023E09"/>
    <w:rsid w:val="00043D10"/>
    <w:rsid w:val="00045A7C"/>
    <w:rsid w:val="00050E3D"/>
    <w:rsid w:val="000604EE"/>
    <w:rsid w:val="000661C5"/>
    <w:rsid w:val="00074B3E"/>
    <w:rsid w:val="00083245"/>
    <w:rsid w:val="00094FC7"/>
    <w:rsid w:val="000B7E0A"/>
    <w:rsid w:val="001126C7"/>
    <w:rsid w:val="00147923"/>
    <w:rsid w:val="00165E55"/>
    <w:rsid w:val="001804F8"/>
    <w:rsid w:val="001A0FA5"/>
    <w:rsid w:val="001B1300"/>
    <w:rsid w:val="001B4DE9"/>
    <w:rsid w:val="001B6F16"/>
    <w:rsid w:val="001C0504"/>
    <w:rsid w:val="001C6015"/>
    <w:rsid w:val="001D2841"/>
    <w:rsid w:val="001D79B2"/>
    <w:rsid w:val="001E41C2"/>
    <w:rsid w:val="0021412E"/>
    <w:rsid w:val="00253F82"/>
    <w:rsid w:val="002B323F"/>
    <w:rsid w:val="002C215F"/>
    <w:rsid w:val="002E0920"/>
    <w:rsid w:val="002E1D76"/>
    <w:rsid w:val="00312834"/>
    <w:rsid w:val="003226B0"/>
    <w:rsid w:val="00327B22"/>
    <w:rsid w:val="00331478"/>
    <w:rsid w:val="0034080E"/>
    <w:rsid w:val="0038250B"/>
    <w:rsid w:val="00392D66"/>
    <w:rsid w:val="003B32C5"/>
    <w:rsid w:val="003B5001"/>
    <w:rsid w:val="003C35F0"/>
    <w:rsid w:val="003C66D2"/>
    <w:rsid w:val="003D1F64"/>
    <w:rsid w:val="003D4AA3"/>
    <w:rsid w:val="003F02B1"/>
    <w:rsid w:val="00484AC0"/>
    <w:rsid w:val="00486334"/>
    <w:rsid w:val="004A2E8F"/>
    <w:rsid w:val="004D3116"/>
    <w:rsid w:val="004F3207"/>
    <w:rsid w:val="0051677A"/>
    <w:rsid w:val="005348FE"/>
    <w:rsid w:val="0054051A"/>
    <w:rsid w:val="0054175F"/>
    <w:rsid w:val="0055184B"/>
    <w:rsid w:val="00565750"/>
    <w:rsid w:val="0058667B"/>
    <w:rsid w:val="005A6D18"/>
    <w:rsid w:val="005B717C"/>
    <w:rsid w:val="005D0D0E"/>
    <w:rsid w:val="005D274F"/>
    <w:rsid w:val="00603BDA"/>
    <w:rsid w:val="00627EAE"/>
    <w:rsid w:val="006748E7"/>
    <w:rsid w:val="00677338"/>
    <w:rsid w:val="00677FDE"/>
    <w:rsid w:val="006B17E4"/>
    <w:rsid w:val="006B6D1D"/>
    <w:rsid w:val="006D0C01"/>
    <w:rsid w:val="006D5BCF"/>
    <w:rsid w:val="006F3D0B"/>
    <w:rsid w:val="006F799E"/>
    <w:rsid w:val="007042A5"/>
    <w:rsid w:val="00763A41"/>
    <w:rsid w:val="007B4833"/>
    <w:rsid w:val="007B6B1B"/>
    <w:rsid w:val="007D5375"/>
    <w:rsid w:val="007E78EF"/>
    <w:rsid w:val="007F624C"/>
    <w:rsid w:val="0081586D"/>
    <w:rsid w:val="00816077"/>
    <w:rsid w:val="00825911"/>
    <w:rsid w:val="00825A21"/>
    <w:rsid w:val="00827A00"/>
    <w:rsid w:val="00854838"/>
    <w:rsid w:val="00864D1D"/>
    <w:rsid w:val="008707B1"/>
    <w:rsid w:val="00875C10"/>
    <w:rsid w:val="008B1F58"/>
    <w:rsid w:val="008F4630"/>
    <w:rsid w:val="00903233"/>
    <w:rsid w:val="009179EC"/>
    <w:rsid w:val="00942C56"/>
    <w:rsid w:val="00943D7C"/>
    <w:rsid w:val="009670C1"/>
    <w:rsid w:val="00972DFC"/>
    <w:rsid w:val="00977445"/>
    <w:rsid w:val="009842DB"/>
    <w:rsid w:val="009A14E8"/>
    <w:rsid w:val="009A1770"/>
    <w:rsid w:val="009F6C41"/>
    <w:rsid w:val="00A00CC7"/>
    <w:rsid w:val="00A040EB"/>
    <w:rsid w:val="00A171C2"/>
    <w:rsid w:val="00A2728A"/>
    <w:rsid w:val="00A31929"/>
    <w:rsid w:val="00A52F2C"/>
    <w:rsid w:val="00A53D99"/>
    <w:rsid w:val="00A57FB7"/>
    <w:rsid w:val="00A60B41"/>
    <w:rsid w:val="00A6411D"/>
    <w:rsid w:val="00A94C8D"/>
    <w:rsid w:val="00A97237"/>
    <w:rsid w:val="00AA724E"/>
    <w:rsid w:val="00AF2B5A"/>
    <w:rsid w:val="00B13DC8"/>
    <w:rsid w:val="00B3606F"/>
    <w:rsid w:val="00B37763"/>
    <w:rsid w:val="00B4554E"/>
    <w:rsid w:val="00B62B22"/>
    <w:rsid w:val="00B70142"/>
    <w:rsid w:val="00B73EFA"/>
    <w:rsid w:val="00B83759"/>
    <w:rsid w:val="00B932FB"/>
    <w:rsid w:val="00BB5FB9"/>
    <w:rsid w:val="00BC2D8D"/>
    <w:rsid w:val="00BE13C3"/>
    <w:rsid w:val="00BF321F"/>
    <w:rsid w:val="00BF45A0"/>
    <w:rsid w:val="00C04E05"/>
    <w:rsid w:val="00C45F04"/>
    <w:rsid w:val="00C7312E"/>
    <w:rsid w:val="00C8118D"/>
    <w:rsid w:val="00C8585C"/>
    <w:rsid w:val="00C94000"/>
    <w:rsid w:val="00C9466B"/>
    <w:rsid w:val="00CB44AC"/>
    <w:rsid w:val="00CB5605"/>
    <w:rsid w:val="00CD172D"/>
    <w:rsid w:val="00CD6285"/>
    <w:rsid w:val="00D0110C"/>
    <w:rsid w:val="00D04799"/>
    <w:rsid w:val="00D11E0E"/>
    <w:rsid w:val="00D2643C"/>
    <w:rsid w:val="00D40EB8"/>
    <w:rsid w:val="00D548E6"/>
    <w:rsid w:val="00D5708D"/>
    <w:rsid w:val="00DC1C94"/>
    <w:rsid w:val="00DE124B"/>
    <w:rsid w:val="00DE4E82"/>
    <w:rsid w:val="00E02CD4"/>
    <w:rsid w:val="00E45054"/>
    <w:rsid w:val="00E47C90"/>
    <w:rsid w:val="00E5024E"/>
    <w:rsid w:val="00E50C3C"/>
    <w:rsid w:val="00E52D56"/>
    <w:rsid w:val="00E56D5F"/>
    <w:rsid w:val="00E823FF"/>
    <w:rsid w:val="00E85902"/>
    <w:rsid w:val="00E92E05"/>
    <w:rsid w:val="00E96AA0"/>
    <w:rsid w:val="00EA2181"/>
    <w:rsid w:val="00EA5483"/>
    <w:rsid w:val="00EB15A7"/>
    <w:rsid w:val="00EC349A"/>
    <w:rsid w:val="00EC7B5C"/>
    <w:rsid w:val="00ED454B"/>
    <w:rsid w:val="00EE12A0"/>
    <w:rsid w:val="00F379E9"/>
    <w:rsid w:val="00F40F06"/>
    <w:rsid w:val="00F51690"/>
    <w:rsid w:val="00F62A56"/>
    <w:rsid w:val="00FB2E95"/>
    <w:rsid w:val="00FB48E8"/>
    <w:rsid w:val="00FC419A"/>
    <w:rsid w:val="00FD7366"/>
    <w:rsid w:val="253C76A7"/>
    <w:rsid w:val="2E9F6141"/>
    <w:rsid w:val="36B23B4B"/>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99" w:name="footnote text"/>
    <w:lsdException w:uiPriority="0"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99" w:name="footnote reference"/>
    <w:lsdException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9">
    <w:name w:val="Default Paragraph Font"/>
    <w:unhideWhenUsed/>
    <w:uiPriority w:val="1"/>
  </w:style>
  <w:style w:type="table" w:default="1" w:styleId="12">
    <w:name w:val="Normal Table"/>
    <w:unhideWhenUsed/>
    <w:uiPriority w:val="99"/>
    <w:tblPr>
      <w:tblStyle w:val="12"/>
      <w:tblLayout w:type="fixed"/>
      <w:tblCellMar>
        <w:top w:w="0" w:type="dxa"/>
        <w:left w:w="108" w:type="dxa"/>
        <w:bottom w:w="0" w:type="dxa"/>
        <w:right w:w="108" w:type="dxa"/>
      </w:tblCellMar>
    </w:tblPr>
    <w:tcPr>
      <w:textDirection w:val="lrTb"/>
    </w:tcPr>
  </w:style>
  <w:style w:type="paragraph" w:styleId="2">
    <w:name w:val="annotation subject"/>
    <w:basedOn w:val="3"/>
    <w:next w:val="3"/>
    <w:link w:val="20"/>
    <w:unhideWhenUsed/>
    <w:uiPriority w:val="99"/>
    <w:rPr>
      <w:b/>
      <w:bCs/>
    </w:rPr>
  </w:style>
  <w:style w:type="paragraph" w:styleId="3">
    <w:name w:val="annotation text"/>
    <w:basedOn w:val="1"/>
    <w:link w:val="19"/>
    <w:unhideWhenUsed/>
    <w:uiPriority w:val="0"/>
    <w:pPr>
      <w:jc w:val="left"/>
    </w:pPr>
  </w:style>
  <w:style w:type="paragraph" w:styleId="4">
    <w:name w:val="Balloon Text"/>
    <w:basedOn w:val="1"/>
    <w:link w:val="18"/>
    <w:unhideWhenUsed/>
    <w:uiPriority w:val="99"/>
    <w:rPr>
      <w:sz w:val="18"/>
      <w:szCs w:val="18"/>
    </w:rPr>
  </w:style>
  <w:style w:type="paragraph" w:styleId="5">
    <w:name w:val="footer"/>
    <w:basedOn w:val="1"/>
    <w:link w:val="16"/>
    <w:unhideWhenUsed/>
    <w:uiPriority w:val="99"/>
    <w:pPr>
      <w:tabs>
        <w:tab w:val="center" w:pos="4153"/>
        <w:tab w:val="right" w:pos="8306"/>
      </w:tabs>
      <w:snapToGrid w:val="0"/>
      <w:jc w:val="left"/>
    </w:pPr>
    <w:rPr>
      <w:sz w:val="18"/>
      <w:szCs w:val="18"/>
    </w:rPr>
  </w:style>
  <w:style w:type="paragraph" w:styleId="6">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17"/>
    <w:unhideWhenUsed/>
    <w:uiPriority w:val="99"/>
    <w:pPr>
      <w:snapToGrid w:val="0"/>
      <w:jc w:val="left"/>
    </w:pPr>
    <w:rPr>
      <w:sz w:val="18"/>
      <w:szCs w:val="18"/>
    </w:rPr>
  </w:style>
  <w:style w:type="paragraph" w:styleId="8">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annotation reference"/>
    <w:basedOn w:val="9"/>
    <w:unhideWhenUsed/>
    <w:uiPriority w:val="0"/>
    <w:rPr>
      <w:sz w:val="21"/>
      <w:szCs w:val="21"/>
    </w:rPr>
  </w:style>
  <w:style w:type="character" w:styleId="11">
    <w:name w:val="footnote reference"/>
    <w:basedOn w:val="9"/>
    <w:unhideWhenUsed/>
    <w:uiPriority w:val="99"/>
    <w:rPr>
      <w:vertAlign w:val="superscript"/>
    </w:rPr>
  </w:style>
  <w:style w:type="table" w:styleId="13">
    <w:name w:val="Table Grid"/>
    <w:basedOn w:val="12"/>
    <w:uiPriority w:val="59"/>
    <w:p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4">
    <w:name w:val="List Paragraph"/>
    <w:basedOn w:val="1"/>
    <w:qFormat/>
    <w:uiPriority w:val="34"/>
    <w:pPr>
      <w:ind w:firstLine="420" w:firstLineChars="200"/>
    </w:pPr>
    <w:rPr>
      <w:rFonts w:ascii="Calibri" w:hAnsi="Calibri" w:eastAsia="宋体" w:cs="Calibri"/>
    </w:rPr>
  </w:style>
  <w:style w:type="character" w:customStyle="1" w:styleId="15">
    <w:name w:val="页眉 Char"/>
    <w:basedOn w:val="9"/>
    <w:link w:val="6"/>
    <w:uiPriority w:val="99"/>
    <w:rPr>
      <w:sz w:val="18"/>
      <w:szCs w:val="18"/>
    </w:rPr>
  </w:style>
  <w:style w:type="character" w:customStyle="1" w:styleId="16">
    <w:name w:val="页脚 Char"/>
    <w:basedOn w:val="9"/>
    <w:link w:val="5"/>
    <w:uiPriority w:val="99"/>
    <w:rPr>
      <w:sz w:val="18"/>
      <w:szCs w:val="18"/>
    </w:rPr>
  </w:style>
  <w:style w:type="character" w:customStyle="1" w:styleId="17">
    <w:name w:val="脚注文本 Char"/>
    <w:basedOn w:val="9"/>
    <w:link w:val="7"/>
    <w:semiHidden/>
    <w:uiPriority w:val="99"/>
    <w:rPr>
      <w:sz w:val="18"/>
      <w:szCs w:val="18"/>
    </w:rPr>
  </w:style>
  <w:style w:type="character" w:customStyle="1" w:styleId="18">
    <w:name w:val="批注框文本 Char"/>
    <w:basedOn w:val="9"/>
    <w:link w:val="4"/>
    <w:semiHidden/>
    <w:uiPriority w:val="99"/>
    <w:rPr>
      <w:sz w:val="18"/>
      <w:szCs w:val="18"/>
    </w:rPr>
  </w:style>
  <w:style w:type="character" w:customStyle="1" w:styleId="19">
    <w:name w:val="批注文字 Char"/>
    <w:basedOn w:val="9"/>
    <w:link w:val="3"/>
    <w:uiPriority w:val="0"/>
    <w:rPr/>
  </w:style>
  <w:style w:type="character" w:customStyle="1" w:styleId="20">
    <w:name w:val="批注主题 Char"/>
    <w:basedOn w:val="19"/>
    <w:link w:val="2"/>
    <w:semiHidden/>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footnotes" Target="footnote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textRotate="1"/>
    <customShpInfo spid="_x0000_s1028" textRotate="1"/>
    <customShpInfo spid="_x0000_s1029" textRotate="1"/>
    <customShpInfo spid="_x0000_s1030" textRotate="1"/>
    <customShpInfo spid="_x0000_s1031" textRotate="1"/>
    <customShpInfo spid="_x0000_s1032" textRotate="1"/>
    <customShpInfo spid="_x0000_s1033" textRotate="1"/>
    <customShpInfo spid="_x0000_s1034" textRotate="1"/>
    <customShpInfo spid="_x0000_s1035" textRotate="1"/>
    <customShpInfo spid="_x0000_s103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1451</Words>
  <Characters>8274</Characters>
  <Lines>68</Lines>
  <Paragraphs>19</Paragraphs>
  <TotalTime>0</TotalTime>
  <ScaleCrop>false</ScaleCrop>
  <LinksUpToDate>false</LinksUpToDate>
  <CharactersWithSpaces>0</CharactersWithSpaces>
  <Application>WPS Office 个人版_9.1.0.4867_{F1E327BC-269C-435d-A152-05C5408002CA}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2014-11-20T01:16:00Z</dcterms:created>
  <dc:creator>zhonglian</dc:creator>
  <cp:lastModifiedBy>刘胜飞</cp:lastModifiedBy>
  <dcterms:modified xsi:type="dcterms:W3CDTF">2014-11-21T08:27:16Z</dcterms:modified>
  <dc:title>附件4：</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ies>
</file>