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9C" w:rsidRPr="006D7906" w:rsidRDefault="006D7906" w:rsidP="006D7906">
      <w:pPr>
        <w:adjustRightInd w:val="0"/>
        <w:snapToGrid w:val="0"/>
        <w:spacing w:line="360" w:lineRule="auto"/>
        <w:rPr>
          <w:rFonts w:ascii="仿宋_GB2312" w:eastAsia="仿宋_GB2312" w:hAnsiTheme="minorEastAsia" w:cs="仿宋" w:hint="eastAsia"/>
          <w:spacing w:val="-1"/>
          <w:sz w:val="32"/>
          <w:szCs w:val="32"/>
          <w:lang w:val="zh-TW" w:eastAsia="zh-TW"/>
        </w:rPr>
      </w:pPr>
      <w:r w:rsidRPr="006D7906">
        <w:rPr>
          <w:rFonts w:ascii="仿宋_GB2312" w:eastAsia="仿宋_GB2312" w:hAnsiTheme="minorEastAsia" w:cs="仿宋" w:hint="eastAsia"/>
          <w:spacing w:val="-1"/>
          <w:sz w:val="32"/>
          <w:szCs w:val="32"/>
          <w:lang w:val="zh-TW" w:eastAsia="zh-TW"/>
        </w:rPr>
        <w:t>附件3：</w:t>
      </w:r>
    </w:p>
    <w:p w:rsidR="006D7906" w:rsidRPr="006D7906" w:rsidRDefault="006D7906">
      <w:pPr>
        <w:spacing w:line="540" w:lineRule="atLeast"/>
        <w:ind w:firstLine="632"/>
        <w:rPr>
          <w:rFonts w:ascii="Times New Roman" w:eastAsiaTheme="minorEastAsia" w:hAnsi="Times New Roman" w:cs="Times New Roman" w:hint="eastAsia"/>
          <w:spacing w:val="-2"/>
          <w:sz w:val="32"/>
          <w:szCs w:val="32"/>
          <w:lang w:eastAsia="zh-CN"/>
        </w:rPr>
      </w:pPr>
    </w:p>
    <w:p w:rsidR="0024679C" w:rsidRDefault="006E3491">
      <w:pPr>
        <w:jc w:val="center"/>
        <w:rPr>
          <w:rFonts w:ascii="华文中宋" w:eastAsia="华文中宋" w:hAnsi="华文中宋" w:cs="方正小标宋简体"/>
          <w:spacing w:val="0"/>
          <w:kern w:val="0"/>
          <w:sz w:val="44"/>
          <w:szCs w:val="44"/>
          <w:lang w:val="zh-TW" w:eastAsia="zh-CN"/>
        </w:rPr>
      </w:pPr>
      <w:r w:rsidRPr="00B97A3D">
        <w:rPr>
          <w:rFonts w:ascii="华文中宋" w:eastAsia="华文中宋" w:hAnsi="华文中宋" w:cs="方正小标宋简体"/>
          <w:spacing w:val="0"/>
          <w:kern w:val="0"/>
          <w:sz w:val="44"/>
          <w:szCs w:val="44"/>
          <w:lang w:val="zh-TW" w:eastAsia="zh-TW"/>
        </w:rPr>
        <w:t>资产评估操作专家提示</w:t>
      </w:r>
      <w:r w:rsidRPr="00B97A3D">
        <w:rPr>
          <w:rFonts w:ascii="华文中宋" w:eastAsia="华文中宋" w:hAnsi="华文中宋"/>
          <w:spacing w:val="-40"/>
          <w:kern w:val="0"/>
          <w:sz w:val="44"/>
          <w:szCs w:val="44"/>
          <w:lang w:eastAsia="zh-CN"/>
        </w:rPr>
        <w:t>—</w:t>
      </w:r>
      <w:r w:rsidRPr="00B97A3D">
        <w:rPr>
          <w:rFonts w:ascii="华文中宋" w:eastAsia="华文中宋" w:hAnsi="华文中宋"/>
          <w:spacing w:val="0"/>
          <w:kern w:val="0"/>
          <w:sz w:val="44"/>
          <w:szCs w:val="44"/>
          <w:lang w:eastAsia="zh-CN"/>
        </w:rPr>
        <w:t>—</w:t>
      </w:r>
      <w:r w:rsidRPr="00B97A3D">
        <w:rPr>
          <w:rFonts w:ascii="华文中宋" w:eastAsia="华文中宋" w:hAnsi="华文中宋" w:cs="方正小标宋简体"/>
          <w:spacing w:val="0"/>
          <w:kern w:val="0"/>
          <w:sz w:val="44"/>
          <w:szCs w:val="44"/>
          <w:lang w:val="zh-TW" w:eastAsia="zh-TW"/>
        </w:rPr>
        <w:t>金融企业收益法评估模型与参数确定</w:t>
      </w:r>
    </w:p>
    <w:p w:rsidR="00816AC4" w:rsidRPr="00B97A3D" w:rsidRDefault="00816AC4">
      <w:pPr>
        <w:jc w:val="center"/>
        <w:rPr>
          <w:rFonts w:ascii="华文中宋" w:eastAsia="华文中宋" w:hAnsi="华文中宋" w:cs="Times New Roman"/>
          <w:spacing w:val="0"/>
          <w:kern w:val="0"/>
          <w:sz w:val="44"/>
          <w:szCs w:val="44"/>
          <w:lang w:eastAsia="zh-CN"/>
        </w:rPr>
      </w:pPr>
      <w:r>
        <w:rPr>
          <w:rFonts w:ascii="华文中宋" w:eastAsia="华文中宋" w:hAnsi="华文中宋" w:cs="方正小标宋简体" w:hint="eastAsia"/>
          <w:spacing w:val="0"/>
          <w:kern w:val="0"/>
          <w:sz w:val="44"/>
          <w:szCs w:val="44"/>
          <w:lang w:val="zh-TW" w:eastAsia="zh-CN"/>
        </w:rPr>
        <w:t>（征求意见稿）</w:t>
      </w:r>
    </w:p>
    <w:p w:rsidR="0024679C" w:rsidRDefault="0024679C">
      <w:pPr>
        <w:spacing w:line="440" w:lineRule="atLeast"/>
        <w:ind w:firstLine="632"/>
        <w:rPr>
          <w:rFonts w:ascii="Times New Roman" w:eastAsiaTheme="minorEastAsia" w:hAnsi="Times New Roman" w:cs="Times New Roman"/>
          <w:spacing w:val="-2"/>
          <w:sz w:val="32"/>
          <w:szCs w:val="32"/>
          <w:lang w:eastAsia="zh-CN"/>
        </w:rPr>
      </w:pPr>
    </w:p>
    <w:p w:rsidR="00DD4795" w:rsidRPr="00DD4795" w:rsidRDefault="00DD4795" w:rsidP="006D7906">
      <w:pPr>
        <w:spacing w:line="360" w:lineRule="auto"/>
        <w:ind w:firstLine="632"/>
        <w:rPr>
          <w:rFonts w:ascii="Times New Roman" w:eastAsiaTheme="minorEastAsia" w:hAnsi="Times New Roman" w:cs="Times New Roman"/>
          <w:spacing w:val="-2"/>
          <w:sz w:val="32"/>
          <w:szCs w:val="32"/>
          <w:lang w:eastAsia="zh-CN"/>
        </w:rPr>
      </w:pPr>
    </w:p>
    <w:p w:rsidR="0024679C" w:rsidRPr="00B97A3D"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本专家提示是一种专家意见。评估机构执行资产评估业务，可以参照本专家提示，也可以根据具体情况采用其他适当的做法。中国资产评估协会将根据业务发展，对本专家提示进行更新。</w:t>
      </w:r>
    </w:p>
    <w:p w:rsidR="00917F22" w:rsidRPr="00B97A3D" w:rsidRDefault="00917F22" w:rsidP="00B97A3D">
      <w:pPr>
        <w:adjustRightInd w:val="0"/>
        <w:snapToGrid w:val="0"/>
        <w:spacing w:line="400" w:lineRule="exact"/>
        <w:ind w:firstLineChars="200" w:firstLine="638"/>
        <w:rPr>
          <w:rFonts w:ascii="仿宋_GB2312" w:eastAsia="仿宋_GB2312" w:hAnsiTheme="minorEastAsia" w:cs="仿宋"/>
          <w:spacing w:val="-1"/>
          <w:sz w:val="32"/>
          <w:szCs w:val="32"/>
          <w:lang w:val="zh-TW" w:eastAsia="zh-CN"/>
        </w:rPr>
      </w:pPr>
    </w:p>
    <w:p w:rsidR="0024679C" w:rsidRPr="0095199E" w:rsidRDefault="006E3491" w:rsidP="0095199E">
      <w:pPr>
        <w:adjustRightInd w:val="0"/>
        <w:snapToGrid w:val="0"/>
        <w:spacing w:line="360" w:lineRule="auto"/>
        <w:ind w:firstLineChars="200" w:firstLine="640"/>
        <w:rPr>
          <w:rFonts w:ascii="仿宋_GB2312" w:eastAsia="仿宋_GB2312" w:hAnsiTheme="minorEastAsia" w:cs="仿宋"/>
          <w:b/>
          <w:spacing w:val="-1"/>
          <w:sz w:val="32"/>
          <w:szCs w:val="32"/>
          <w:lang w:val="zh-TW" w:eastAsia="zh-TW"/>
        </w:rPr>
      </w:pPr>
      <w:r w:rsidRPr="0095199E">
        <w:rPr>
          <w:rFonts w:ascii="仿宋_GB2312" w:eastAsia="仿宋_GB2312" w:hAnsiTheme="minorEastAsia" w:cs="仿宋" w:hint="eastAsia"/>
          <w:b/>
          <w:spacing w:val="-1"/>
          <w:sz w:val="32"/>
          <w:szCs w:val="32"/>
          <w:lang w:val="zh-TW" w:eastAsia="zh-TW"/>
        </w:rPr>
        <w:t>一、总则</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第一条</w:t>
      </w:r>
      <w:r w:rsidRPr="006D7906">
        <w:rPr>
          <w:rFonts w:ascii="仿宋_GB2312" w:eastAsia="仿宋_GB2312" w:hAnsiTheme="minorEastAsia" w:cs="仿宋" w:hint="eastAsia"/>
          <w:spacing w:val="-1"/>
          <w:sz w:val="32"/>
          <w:szCs w:val="32"/>
          <w:lang w:val="zh-TW" w:eastAsia="zh-TW"/>
        </w:rPr>
        <w:t xml:space="preserve"> </w:t>
      </w:r>
      <w:r w:rsidR="00FD0CD4" w:rsidRPr="006D7906">
        <w:rPr>
          <w:rFonts w:ascii="仿宋_GB2312" w:eastAsia="仿宋_GB2312" w:hAnsiTheme="minorEastAsia" w:cs="仿宋" w:hint="eastAsia"/>
          <w:spacing w:val="-1"/>
          <w:sz w:val="32"/>
          <w:szCs w:val="32"/>
          <w:lang w:val="zh-TW" w:eastAsia="zh-TW"/>
        </w:rPr>
        <w:t>为指导评估机构在金融企业评估业务中运用收益法</w:t>
      </w:r>
      <w:r w:rsidRPr="00B97A3D">
        <w:rPr>
          <w:rFonts w:ascii="仿宋_GB2312" w:eastAsia="仿宋_GB2312" w:hAnsiTheme="minorEastAsia" w:cs="仿宋" w:hint="eastAsia"/>
          <w:spacing w:val="-1"/>
          <w:sz w:val="32"/>
          <w:szCs w:val="32"/>
          <w:lang w:val="zh-TW" w:eastAsia="zh-TW"/>
        </w:rPr>
        <w:t>中国资产评估协会组织制定了本专家提示。</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第二条</w:t>
      </w:r>
      <w:r w:rsidRPr="006D7906">
        <w:rPr>
          <w:rFonts w:ascii="仿宋_GB2312" w:eastAsia="仿宋_GB2312" w:hAnsiTheme="minorEastAsia" w:cs="仿宋" w:hint="eastAsia"/>
          <w:spacing w:val="-1"/>
          <w:sz w:val="32"/>
          <w:szCs w:val="32"/>
          <w:lang w:val="zh-TW" w:eastAsia="zh-TW"/>
        </w:rPr>
        <w:t xml:space="preserve"> </w:t>
      </w:r>
      <w:r w:rsidRPr="00B97A3D">
        <w:rPr>
          <w:rFonts w:ascii="仿宋_GB2312" w:eastAsia="仿宋_GB2312" w:hAnsiTheme="minorEastAsia" w:cs="仿宋" w:hint="eastAsia"/>
          <w:spacing w:val="-1"/>
          <w:sz w:val="32"/>
          <w:szCs w:val="32"/>
          <w:lang w:val="zh-TW" w:eastAsia="zh-TW"/>
        </w:rPr>
        <w:t>金融企业收益法评估模型和参数确定应满足《资产评估准则</w:t>
      </w:r>
      <w:r w:rsidRPr="006D7906">
        <w:rPr>
          <w:rFonts w:ascii="仿宋_GB2312" w:eastAsia="仿宋_GB2312" w:hAnsiTheme="minorEastAsia" w:cs="仿宋" w:hint="eastAsia"/>
          <w:spacing w:val="-1"/>
          <w:sz w:val="32"/>
          <w:szCs w:val="32"/>
          <w:lang w:val="zh-TW" w:eastAsia="zh-TW"/>
        </w:rPr>
        <w:t>——</w:t>
      </w:r>
      <w:r w:rsidRPr="00B97A3D">
        <w:rPr>
          <w:rFonts w:ascii="仿宋_GB2312" w:eastAsia="仿宋_GB2312" w:hAnsiTheme="minorEastAsia" w:cs="仿宋" w:hint="eastAsia"/>
          <w:spacing w:val="-1"/>
          <w:sz w:val="32"/>
          <w:szCs w:val="32"/>
          <w:lang w:val="zh-TW" w:eastAsia="zh-TW"/>
        </w:rPr>
        <w:t>企业价值》、《金融企业国有资产评估报告指南》等相关规范文件的要求。</w:t>
      </w:r>
    </w:p>
    <w:p w:rsidR="0024679C" w:rsidRPr="006D7906" w:rsidRDefault="00314B5B"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第三</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不同类型的金融企业，如：银行、证券、保险、信托等公司应根据各自的业务模式，选取适当的评估模型和参数。</w:t>
      </w:r>
    </w:p>
    <w:p w:rsidR="0024679C" w:rsidRPr="00B97A3D" w:rsidRDefault="00314B5B"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第四</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金融企业是特许经营行业，行政监管严格，</w:t>
      </w:r>
      <w:r w:rsidRPr="00B97A3D">
        <w:rPr>
          <w:rFonts w:ascii="仿宋_GB2312" w:eastAsia="仿宋_GB2312" w:hAnsiTheme="minorEastAsia" w:cs="仿宋" w:hint="eastAsia"/>
          <w:spacing w:val="-1"/>
          <w:sz w:val="32"/>
          <w:szCs w:val="32"/>
          <w:lang w:val="zh-TW" w:eastAsia="zh-TW"/>
        </w:rPr>
        <w:t>在</w:t>
      </w:r>
      <w:r w:rsidRPr="00B97A3D">
        <w:rPr>
          <w:rFonts w:ascii="仿宋_GB2312" w:eastAsia="仿宋_GB2312" w:hAnsiTheme="minorEastAsia" w:cs="仿宋" w:hint="eastAsia"/>
          <w:spacing w:val="-1"/>
          <w:sz w:val="32"/>
          <w:szCs w:val="32"/>
          <w:lang w:val="zh-TW" w:eastAsia="zh-TW"/>
        </w:rPr>
        <w:lastRenderedPageBreak/>
        <w:t>收益法评估模型和参数应适当考虑并在资本充足率等指标中有所体现。</w:t>
      </w:r>
    </w:p>
    <w:p w:rsidR="0024679C" w:rsidRPr="00B97A3D" w:rsidRDefault="0024679C"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
    <w:p w:rsidR="0024679C" w:rsidRPr="0095199E" w:rsidRDefault="006E3491" w:rsidP="0095199E">
      <w:pPr>
        <w:adjustRightInd w:val="0"/>
        <w:snapToGrid w:val="0"/>
        <w:spacing w:line="360" w:lineRule="auto"/>
        <w:ind w:firstLineChars="200" w:firstLine="640"/>
        <w:rPr>
          <w:rFonts w:ascii="仿宋_GB2312" w:eastAsia="仿宋_GB2312" w:hAnsiTheme="minorEastAsia" w:cs="仿宋"/>
          <w:b/>
          <w:spacing w:val="-1"/>
          <w:sz w:val="32"/>
          <w:szCs w:val="32"/>
          <w:lang w:val="zh-TW" w:eastAsia="zh-TW"/>
        </w:rPr>
      </w:pPr>
      <w:r w:rsidRPr="0095199E">
        <w:rPr>
          <w:rFonts w:ascii="仿宋_GB2312" w:eastAsia="仿宋_GB2312" w:hAnsiTheme="minorEastAsia" w:cs="仿宋" w:hint="eastAsia"/>
          <w:b/>
          <w:spacing w:val="-1"/>
          <w:sz w:val="32"/>
          <w:szCs w:val="32"/>
          <w:lang w:val="zh-TW" w:eastAsia="zh-TW"/>
        </w:rPr>
        <w:t>二、评估模型</w:t>
      </w:r>
    </w:p>
    <w:p w:rsidR="0024679C" w:rsidRPr="006D7906" w:rsidRDefault="00314B5B"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第五</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金融企业收益法评估模型与参数确定，应区分控股性产权变动业务和非控股性产权变</w:t>
      </w:r>
      <w:r w:rsidR="006E3491" w:rsidRPr="006D7906">
        <w:rPr>
          <w:rFonts w:ascii="仿宋_GB2312" w:eastAsia="仿宋_GB2312" w:hAnsiTheme="minorEastAsia" w:cs="仿宋" w:hint="eastAsia"/>
          <w:spacing w:val="-1"/>
          <w:sz w:val="32"/>
          <w:szCs w:val="32"/>
          <w:lang w:val="zh-TW" w:eastAsia="zh-TW"/>
        </w:rPr>
        <w:t>动业务。</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第</w:t>
      </w:r>
      <w:r w:rsidR="00551387" w:rsidRPr="006D7906">
        <w:rPr>
          <w:rFonts w:ascii="仿宋_GB2312" w:eastAsia="仿宋_GB2312" w:hAnsiTheme="minorEastAsia" w:cs="仿宋" w:hint="eastAsia"/>
          <w:spacing w:val="-1"/>
          <w:sz w:val="32"/>
          <w:szCs w:val="32"/>
          <w:lang w:val="zh-TW" w:eastAsia="zh-TW"/>
        </w:rPr>
        <w:t>六</w:t>
      </w:r>
      <w:r w:rsidRPr="006D7906">
        <w:rPr>
          <w:rFonts w:ascii="仿宋_GB2312" w:eastAsia="仿宋_GB2312" w:hAnsiTheme="minorEastAsia" w:cs="仿宋" w:hint="eastAsia"/>
          <w:spacing w:val="-1"/>
          <w:sz w:val="32"/>
          <w:szCs w:val="32"/>
          <w:lang w:val="zh-TW" w:eastAsia="zh-TW"/>
        </w:rPr>
        <w:t>条  在金融企业控股产权变动业务中，金融企业收益法评估可以采用股权自由现金流量折现模型，其中，</w:t>
      </w:r>
      <w:r w:rsidRPr="00B97A3D">
        <w:rPr>
          <w:rFonts w:ascii="仿宋_GB2312" w:eastAsia="仿宋_GB2312" w:hAnsiTheme="minorEastAsia" w:cs="仿宋" w:hint="eastAsia"/>
          <w:spacing w:val="-1"/>
          <w:sz w:val="32"/>
          <w:szCs w:val="32"/>
          <w:lang w:val="zh-TW" w:eastAsia="zh-TW"/>
        </w:rPr>
        <w:t>股权自由现金流量的计算可以参照如下公式：</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股权自由现金流量</w:t>
      </w:r>
      <w:r w:rsidR="00BE5C04" w:rsidRPr="006D7906">
        <w:rPr>
          <w:rFonts w:ascii="仿宋_GB2312" w:eastAsia="仿宋_GB2312" w:hAnsiTheme="minorEastAsia" w:cs="仿宋" w:hint="eastAsia"/>
          <w:spacing w:val="-1"/>
          <w:sz w:val="32"/>
          <w:szCs w:val="32"/>
          <w:lang w:val="zh-TW" w:eastAsia="zh-TW"/>
        </w:rPr>
        <w:t>=</w:t>
      </w:r>
      <w:r w:rsidRPr="006D7906">
        <w:rPr>
          <w:rFonts w:ascii="仿宋_GB2312" w:eastAsia="仿宋_GB2312" w:hAnsiTheme="minorEastAsia" w:cs="仿宋" w:hint="eastAsia"/>
          <w:spacing w:val="-1"/>
          <w:sz w:val="32"/>
          <w:szCs w:val="32"/>
          <w:lang w:val="zh-TW" w:eastAsia="zh-TW"/>
        </w:rPr>
        <w:t>净利润-权益增加额</w:t>
      </w:r>
      <w:r w:rsidR="00314B5B" w:rsidRPr="006D7906">
        <w:rPr>
          <w:rFonts w:ascii="仿宋_GB2312" w:eastAsia="仿宋_GB2312" w:hAnsiTheme="minorEastAsia" w:cs="仿宋" w:hint="eastAsia"/>
          <w:spacing w:val="-1"/>
          <w:sz w:val="32"/>
          <w:szCs w:val="32"/>
          <w:lang w:val="zh-TW" w:eastAsia="zh-TW"/>
        </w:rPr>
        <w:t>+</w:t>
      </w:r>
      <w:r w:rsidR="008430EA" w:rsidRPr="006D7906">
        <w:rPr>
          <w:rFonts w:ascii="仿宋_GB2312" w:eastAsia="仿宋_GB2312" w:hAnsiTheme="minorEastAsia" w:cs="仿宋" w:hint="eastAsia"/>
          <w:spacing w:val="-1"/>
          <w:sz w:val="32"/>
          <w:szCs w:val="32"/>
          <w:lang w:val="zh-TW" w:eastAsia="zh-TW"/>
        </w:rPr>
        <w:t>+其他综合回报</w:t>
      </w:r>
    </w:p>
    <w:p w:rsidR="008430EA"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其中</w:t>
      </w:r>
      <w:r w:rsidR="008430EA" w:rsidRPr="006D7906">
        <w:rPr>
          <w:rFonts w:ascii="仿宋_GB2312" w:eastAsia="仿宋_GB2312" w:hAnsiTheme="minorEastAsia" w:cs="仿宋" w:hint="eastAsia"/>
          <w:spacing w:val="-1"/>
          <w:sz w:val="32"/>
          <w:szCs w:val="32"/>
          <w:lang w:val="zh-TW" w:eastAsia="zh-TW"/>
        </w:rPr>
        <w:t>：</w:t>
      </w:r>
    </w:p>
    <w:p w:rsidR="008430EA" w:rsidRPr="006D7906" w:rsidRDefault="008430EA"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净利润是由</w:t>
      </w:r>
      <w:proofErr w:type="gramStart"/>
      <w:r w:rsidRPr="006D7906">
        <w:rPr>
          <w:rFonts w:ascii="仿宋_GB2312" w:eastAsia="仿宋_GB2312" w:hAnsiTheme="minorEastAsia" w:cs="仿宋" w:hint="eastAsia"/>
          <w:spacing w:val="-1"/>
          <w:sz w:val="32"/>
          <w:szCs w:val="32"/>
          <w:lang w:val="zh-TW" w:eastAsia="zh-TW"/>
        </w:rPr>
        <w:t>由</w:t>
      </w:r>
      <w:proofErr w:type="gramEnd"/>
      <w:r w:rsidRPr="006D7906">
        <w:rPr>
          <w:rFonts w:ascii="仿宋_GB2312" w:eastAsia="仿宋_GB2312" w:hAnsiTheme="minorEastAsia" w:cs="仿宋" w:hint="eastAsia"/>
          <w:spacing w:val="-1"/>
          <w:sz w:val="32"/>
          <w:szCs w:val="32"/>
          <w:lang w:val="zh-TW" w:eastAsia="zh-TW"/>
        </w:rPr>
        <w:t>公司的收入减去支出决定的；</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权益增加额与资本性支出和营运资金增加额之间存在差异，概念不</w:t>
      </w:r>
      <w:r w:rsidR="00135849" w:rsidRPr="006D7906">
        <w:rPr>
          <w:rFonts w:ascii="仿宋_GB2312" w:eastAsia="仿宋_GB2312" w:hAnsiTheme="minorEastAsia" w:cs="仿宋" w:hint="eastAsia"/>
          <w:spacing w:val="-1"/>
          <w:sz w:val="32"/>
          <w:szCs w:val="32"/>
          <w:lang w:val="zh-TW" w:eastAsia="zh-TW"/>
        </w:rPr>
        <w:t>应</w:t>
      </w:r>
      <w:r w:rsidRPr="006D7906">
        <w:rPr>
          <w:rFonts w:ascii="仿宋_GB2312" w:eastAsia="仿宋_GB2312" w:hAnsiTheme="minorEastAsia" w:cs="仿宋" w:hint="eastAsia"/>
          <w:spacing w:val="-1"/>
          <w:sz w:val="32"/>
          <w:szCs w:val="32"/>
          <w:lang w:val="zh-TW" w:eastAsia="zh-TW"/>
        </w:rPr>
        <w:t>混同。</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权益增加额应通过所有者权益科目的变化进行预测。</w:t>
      </w:r>
    </w:p>
    <w:p w:rsidR="00DD44FC" w:rsidRPr="00B97A3D" w:rsidRDefault="00551387"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第七</w:t>
      </w:r>
      <w:r w:rsidR="006E3491" w:rsidRPr="006D7906">
        <w:rPr>
          <w:rFonts w:ascii="仿宋_GB2312" w:eastAsia="仿宋_GB2312" w:hAnsiTheme="minorEastAsia" w:cs="仿宋" w:hint="eastAsia"/>
          <w:spacing w:val="-1"/>
          <w:sz w:val="32"/>
          <w:szCs w:val="32"/>
          <w:lang w:val="zh-TW" w:eastAsia="zh-TW"/>
        </w:rPr>
        <w:t xml:space="preserve">条  </w:t>
      </w:r>
      <w:r w:rsidR="00DD44FC" w:rsidRPr="00B97A3D">
        <w:rPr>
          <w:rFonts w:ascii="仿宋_GB2312" w:eastAsia="仿宋_GB2312" w:hAnsiTheme="minorEastAsia" w:cs="仿宋" w:hint="eastAsia"/>
          <w:spacing w:val="-1"/>
          <w:sz w:val="32"/>
          <w:szCs w:val="32"/>
          <w:lang w:val="zh-TW" w:eastAsia="zh-TW"/>
        </w:rPr>
        <w:t>根据评估对象的周期特点，采用两阶段或三阶段或其他评估模型，报告中应说明采用模型的理由。</w:t>
      </w:r>
    </w:p>
    <w:p w:rsidR="00DD44FC" w:rsidRPr="006D7906" w:rsidRDefault="00EB46B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可以通过长期监测并计算利润波动幅度的变异系数来判断行业的周期性，进而客观、科学地预测企业未来的收益和风险。</w:t>
      </w:r>
    </w:p>
    <w:p w:rsidR="00EB46B1" w:rsidRPr="00B97A3D" w:rsidRDefault="00EB46B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第八条  企业持续经营中，待企业达到正常稳定经营</w:t>
      </w:r>
      <w:r w:rsidRPr="00B97A3D">
        <w:rPr>
          <w:rFonts w:ascii="仿宋_GB2312" w:eastAsia="仿宋_GB2312" w:hAnsiTheme="minorEastAsia" w:cs="仿宋" w:hint="eastAsia"/>
          <w:spacing w:val="-1"/>
          <w:sz w:val="32"/>
          <w:szCs w:val="32"/>
          <w:lang w:val="zh-TW" w:eastAsia="zh-TW"/>
        </w:rPr>
        <w:lastRenderedPageBreak/>
        <w:t>后，评估模型可以考虑永续期间的价值，永续模型可以采用永续不增长模型。若采用永续增长模型，则应在折现率中适当体现这一要求。</w:t>
      </w:r>
    </w:p>
    <w:p w:rsidR="00EB46B1" w:rsidRPr="00B97A3D" w:rsidRDefault="00EB46B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在采用永续增长模型中，增长率应根据企业的留存收益率和股利分配率合理确定。</w:t>
      </w:r>
    </w:p>
    <w:p w:rsidR="00EB46B1" w:rsidRPr="00B97A3D" w:rsidRDefault="00EB46B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在永续增长阶段通常不考虑通货膨胀率。</w:t>
      </w:r>
    </w:p>
    <w:p w:rsidR="0024679C" w:rsidRPr="006D7906" w:rsidRDefault="00EB46B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 xml:space="preserve">第九条  </w:t>
      </w:r>
      <w:r w:rsidR="006E3491" w:rsidRPr="00B97A3D">
        <w:rPr>
          <w:rFonts w:ascii="仿宋_GB2312" w:eastAsia="仿宋_GB2312" w:hAnsiTheme="minorEastAsia" w:cs="仿宋" w:hint="eastAsia"/>
          <w:spacing w:val="-1"/>
          <w:sz w:val="32"/>
          <w:szCs w:val="32"/>
          <w:lang w:val="zh-TW" w:eastAsia="zh-TW"/>
        </w:rPr>
        <w:t>金融企业控股权评估业务中，根据业务特点和经营模式，可以采用企业现金流量折现模型。如，金融租赁公司等。</w:t>
      </w:r>
    </w:p>
    <w:p w:rsidR="0024679C" w:rsidRPr="00B97A3D" w:rsidRDefault="003B5828"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w:t>
      </w:r>
      <w:r w:rsidR="00EB46B1" w:rsidRPr="00B97A3D">
        <w:rPr>
          <w:rFonts w:ascii="仿宋_GB2312" w:eastAsia="仿宋_GB2312" w:hAnsiTheme="minorEastAsia" w:cs="仿宋" w:hint="eastAsia"/>
          <w:spacing w:val="-1"/>
          <w:sz w:val="32"/>
          <w:szCs w:val="32"/>
          <w:lang w:val="zh-TW" w:eastAsia="zh-TW"/>
        </w:rPr>
        <w:t>十</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金融企业非控股评估业务中，可以采用股利折现模型，</w:t>
      </w:r>
      <w:r w:rsidR="00DD44FC" w:rsidRPr="00B97A3D">
        <w:rPr>
          <w:rFonts w:ascii="仿宋_GB2312" w:eastAsia="仿宋_GB2312" w:hAnsiTheme="minorEastAsia" w:cs="仿宋" w:hint="eastAsia"/>
          <w:spacing w:val="-1"/>
          <w:sz w:val="32"/>
          <w:szCs w:val="32"/>
          <w:lang w:val="zh-TW" w:eastAsia="zh-TW"/>
        </w:rPr>
        <w:t>以</w:t>
      </w:r>
      <w:r w:rsidR="006E3491" w:rsidRPr="00B97A3D">
        <w:rPr>
          <w:rFonts w:ascii="仿宋_GB2312" w:eastAsia="仿宋_GB2312" w:hAnsiTheme="minorEastAsia" w:cs="仿宋" w:hint="eastAsia"/>
          <w:spacing w:val="-1"/>
          <w:sz w:val="32"/>
          <w:szCs w:val="32"/>
          <w:lang w:val="zh-TW" w:eastAsia="zh-TW"/>
        </w:rPr>
        <w:t>股利作为折现因子，</w:t>
      </w:r>
      <w:r w:rsidR="00DD44FC" w:rsidRPr="00B97A3D">
        <w:rPr>
          <w:rFonts w:ascii="仿宋_GB2312" w:eastAsia="仿宋_GB2312" w:hAnsiTheme="minorEastAsia" w:cs="仿宋" w:hint="eastAsia"/>
          <w:spacing w:val="-1"/>
          <w:sz w:val="32"/>
          <w:szCs w:val="32"/>
          <w:lang w:val="zh-TW" w:eastAsia="zh-TW"/>
        </w:rPr>
        <w:t>可以通过</w:t>
      </w:r>
      <w:r w:rsidR="006E3491" w:rsidRPr="00B97A3D">
        <w:rPr>
          <w:rFonts w:ascii="仿宋_GB2312" w:eastAsia="仿宋_GB2312" w:hAnsiTheme="minorEastAsia" w:cs="仿宋" w:hint="eastAsia"/>
          <w:spacing w:val="-1"/>
          <w:sz w:val="32"/>
          <w:szCs w:val="32"/>
          <w:lang w:val="zh-TW" w:eastAsia="zh-TW"/>
        </w:rPr>
        <w:t>资本资产定价模型、风险累加模型等确定折现率。</w:t>
      </w:r>
    </w:p>
    <w:p w:rsidR="00EB46B1" w:rsidRPr="00B97A3D" w:rsidRDefault="00EB46B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股利折现模型亦可以采用增长模式，增长率应根据企业的留存收益率和股利分配率合理确定。</w:t>
      </w:r>
    </w:p>
    <w:p w:rsidR="00D90873" w:rsidRPr="006D7906" w:rsidRDefault="00D90873"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
    <w:p w:rsidR="0024679C" w:rsidRPr="0095199E" w:rsidRDefault="006E3491" w:rsidP="0095199E">
      <w:pPr>
        <w:adjustRightInd w:val="0"/>
        <w:snapToGrid w:val="0"/>
        <w:spacing w:line="360" w:lineRule="auto"/>
        <w:ind w:firstLineChars="200" w:firstLine="640"/>
        <w:rPr>
          <w:rFonts w:ascii="仿宋_GB2312" w:eastAsia="仿宋_GB2312" w:hAnsiTheme="minorEastAsia" w:cs="仿宋"/>
          <w:b/>
          <w:spacing w:val="-1"/>
          <w:sz w:val="32"/>
          <w:szCs w:val="32"/>
          <w:lang w:val="zh-TW" w:eastAsia="zh-TW"/>
        </w:rPr>
      </w:pPr>
      <w:r w:rsidRPr="0095199E">
        <w:rPr>
          <w:rFonts w:ascii="仿宋_GB2312" w:eastAsia="仿宋_GB2312" w:hAnsiTheme="minorEastAsia" w:cs="仿宋" w:hint="eastAsia"/>
          <w:b/>
          <w:spacing w:val="-1"/>
          <w:sz w:val="32"/>
          <w:szCs w:val="32"/>
          <w:lang w:val="zh-TW" w:eastAsia="zh-TW"/>
        </w:rPr>
        <w:t>三、评估思路</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第十</w:t>
      </w:r>
      <w:r w:rsidR="007D58A5" w:rsidRPr="00B97A3D">
        <w:rPr>
          <w:rFonts w:ascii="仿宋_GB2312" w:eastAsia="仿宋_GB2312" w:hAnsiTheme="minorEastAsia" w:cs="仿宋" w:hint="eastAsia"/>
          <w:spacing w:val="-1"/>
          <w:sz w:val="32"/>
          <w:szCs w:val="32"/>
          <w:lang w:val="zh-TW" w:eastAsia="zh-TW"/>
        </w:rPr>
        <w:t>一</w:t>
      </w:r>
      <w:r w:rsidRPr="00B97A3D">
        <w:rPr>
          <w:rFonts w:ascii="仿宋_GB2312" w:eastAsia="仿宋_GB2312" w:hAnsiTheme="minorEastAsia" w:cs="仿宋" w:hint="eastAsia"/>
          <w:spacing w:val="-1"/>
          <w:sz w:val="32"/>
          <w:szCs w:val="32"/>
          <w:lang w:val="zh-TW" w:eastAsia="zh-TW"/>
        </w:rPr>
        <w:t>条</w:t>
      </w:r>
      <w:r w:rsidRPr="006D7906">
        <w:rPr>
          <w:rFonts w:ascii="仿宋_GB2312" w:eastAsia="仿宋_GB2312" w:hAnsiTheme="minorEastAsia" w:cs="仿宋" w:hint="eastAsia"/>
          <w:spacing w:val="-1"/>
          <w:sz w:val="32"/>
          <w:szCs w:val="32"/>
          <w:lang w:val="zh-TW" w:eastAsia="zh-TW"/>
        </w:rPr>
        <w:t xml:space="preserve">  </w:t>
      </w:r>
      <w:r w:rsidRPr="00B97A3D">
        <w:rPr>
          <w:rFonts w:ascii="仿宋_GB2312" w:eastAsia="仿宋_GB2312" w:hAnsiTheme="minorEastAsia" w:cs="仿宋" w:hint="eastAsia"/>
          <w:spacing w:val="-1"/>
          <w:sz w:val="32"/>
          <w:szCs w:val="32"/>
          <w:lang w:val="zh-TW" w:eastAsia="zh-TW"/>
        </w:rPr>
        <w:t>金融企业收益法评估中，宜按照预测资金来源即负债</w:t>
      </w:r>
      <w:r w:rsidRPr="006D7906">
        <w:rPr>
          <w:rFonts w:ascii="仿宋_GB2312" w:eastAsia="仿宋_GB2312" w:hAnsiTheme="minorEastAsia" w:cs="仿宋" w:hint="eastAsia"/>
          <w:spacing w:val="-1"/>
          <w:sz w:val="32"/>
          <w:szCs w:val="32"/>
          <w:lang w:val="zh-TW" w:eastAsia="zh-TW"/>
        </w:rPr>
        <w:t>——</w:t>
      </w:r>
      <w:r w:rsidRPr="00B97A3D">
        <w:rPr>
          <w:rFonts w:ascii="仿宋_GB2312" w:eastAsia="仿宋_GB2312" w:hAnsiTheme="minorEastAsia" w:cs="仿宋" w:hint="eastAsia"/>
          <w:spacing w:val="-1"/>
          <w:sz w:val="32"/>
          <w:szCs w:val="32"/>
          <w:lang w:val="zh-TW" w:eastAsia="zh-TW"/>
        </w:rPr>
        <w:t>资金使用即资产配置</w:t>
      </w:r>
      <w:r w:rsidRPr="006D7906">
        <w:rPr>
          <w:rFonts w:ascii="仿宋_GB2312" w:eastAsia="仿宋_GB2312" w:hAnsiTheme="minorEastAsia" w:cs="仿宋" w:hint="eastAsia"/>
          <w:spacing w:val="-1"/>
          <w:sz w:val="32"/>
          <w:szCs w:val="32"/>
          <w:lang w:val="zh-TW" w:eastAsia="zh-TW"/>
        </w:rPr>
        <w:t>——</w:t>
      </w:r>
      <w:r w:rsidRPr="00B97A3D">
        <w:rPr>
          <w:rFonts w:ascii="仿宋_GB2312" w:eastAsia="仿宋_GB2312" w:hAnsiTheme="minorEastAsia" w:cs="仿宋" w:hint="eastAsia"/>
          <w:spacing w:val="-1"/>
          <w:sz w:val="32"/>
          <w:szCs w:val="32"/>
          <w:lang w:val="zh-TW" w:eastAsia="zh-TW"/>
        </w:rPr>
        <w:t>资金产出即企业收益</w:t>
      </w:r>
      <w:r w:rsidRPr="006D7906">
        <w:rPr>
          <w:rFonts w:ascii="仿宋_GB2312" w:eastAsia="仿宋_GB2312" w:hAnsiTheme="minorEastAsia" w:cs="仿宋" w:hint="eastAsia"/>
          <w:spacing w:val="-1"/>
          <w:sz w:val="32"/>
          <w:szCs w:val="32"/>
          <w:lang w:val="zh-TW" w:eastAsia="zh-TW"/>
        </w:rPr>
        <w:t>——</w:t>
      </w:r>
      <w:r w:rsidRPr="00B97A3D">
        <w:rPr>
          <w:rFonts w:ascii="仿宋_GB2312" w:eastAsia="仿宋_GB2312" w:hAnsiTheme="minorEastAsia" w:cs="仿宋" w:hint="eastAsia"/>
          <w:spacing w:val="-1"/>
          <w:sz w:val="32"/>
          <w:szCs w:val="32"/>
          <w:lang w:val="zh-TW" w:eastAsia="zh-TW"/>
        </w:rPr>
        <w:t>资金耗费即成本</w:t>
      </w:r>
      <w:r w:rsidRPr="006D7906">
        <w:rPr>
          <w:rFonts w:ascii="仿宋_GB2312" w:eastAsia="仿宋_GB2312" w:hAnsiTheme="minorEastAsia" w:cs="仿宋" w:hint="eastAsia"/>
          <w:spacing w:val="-1"/>
          <w:sz w:val="32"/>
          <w:szCs w:val="32"/>
          <w:lang w:val="zh-TW" w:eastAsia="zh-TW"/>
        </w:rPr>
        <w:t>-</w:t>
      </w:r>
      <w:r w:rsidRPr="00B97A3D">
        <w:rPr>
          <w:rFonts w:ascii="仿宋_GB2312" w:eastAsia="仿宋_GB2312" w:hAnsiTheme="minorEastAsia" w:cs="仿宋" w:hint="eastAsia"/>
          <w:spacing w:val="-1"/>
          <w:sz w:val="32"/>
          <w:szCs w:val="32"/>
          <w:lang w:val="zh-TW" w:eastAsia="zh-TW"/>
        </w:rPr>
        <w:t>费用的路径进行预测，具体操作是：先预测未来的资产负债表，再根据资产配置情况预测收益、成本和费用，同时应编制所有者权益变动表。</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lastRenderedPageBreak/>
        <w:t>第十</w:t>
      </w:r>
      <w:r w:rsidR="007D58A5" w:rsidRPr="00B97A3D">
        <w:rPr>
          <w:rFonts w:ascii="仿宋_GB2312" w:eastAsia="仿宋_GB2312" w:hAnsiTheme="minorEastAsia" w:cs="仿宋" w:hint="eastAsia"/>
          <w:spacing w:val="-1"/>
          <w:sz w:val="32"/>
          <w:szCs w:val="32"/>
          <w:lang w:val="zh-TW" w:eastAsia="zh-TW"/>
        </w:rPr>
        <w:t>二</w:t>
      </w:r>
      <w:r w:rsidRPr="00B97A3D">
        <w:rPr>
          <w:rFonts w:ascii="仿宋_GB2312" w:eastAsia="仿宋_GB2312" w:hAnsiTheme="minorEastAsia" w:cs="仿宋" w:hint="eastAsia"/>
          <w:spacing w:val="-1"/>
          <w:sz w:val="32"/>
          <w:szCs w:val="32"/>
          <w:lang w:val="zh-TW" w:eastAsia="zh-TW"/>
        </w:rPr>
        <w:t>条</w:t>
      </w:r>
      <w:r w:rsidRPr="006D7906">
        <w:rPr>
          <w:rFonts w:ascii="仿宋_GB2312" w:eastAsia="仿宋_GB2312" w:hAnsiTheme="minorEastAsia" w:cs="仿宋" w:hint="eastAsia"/>
          <w:spacing w:val="-1"/>
          <w:sz w:val="32"/>
          <w:szCs w:val="32"/>
          <w:lang w:val="zh-TW" w:eastAsia="zh-TW"/>
        </w:rPr>
        <w:t xml:space="preserve">  </w:t>
      </w:r>
      <w:r w:rsidRPr="00B97A3D">
        <w:rPr>
          <w:rFonts w:ascii="仿宋_GB2312" w:eastAsia="仿宋_GB2312" w:hAnsiTheme="minorEastAsia" w:cs="仿宋" w:hint="eastAsia"/>
          <w:spacing w:val="-1"/>
          <w:sz w:val="32"/>
          <w:szCs w:val="32"/>
          <w:lang w:val="zh-TW" w:eastAsia="zh-TW"/>
        </w:rPr>
        <w:t>收入预测中应根据企业的业务类型，细分收入构成项目，其中：</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银行收入包括利息收入、手续费收入、投资收益和其他业务收入等；</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证券公司收入包括手续费及佣金收入、证券承销业务收入、代理买卖证券业务收入、利息收入、投资收益及其他业务收入等；</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信托公司收入包括手续费收入、投资收益和其他业务收入等；</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寿险公司收入包括已赚保费、分出保费、提取未到期责任准备金、投资收益和其他业务收入等。</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第十</w:t>
      </w:r>
      <w:r w:rsidR="007D58A5" w:rsidRPr="00B97A3D">
        <w:rPr>
          <w:rFonts w:ascii="仿宋_GB2312" w:eastAsia="仿宋_GB2312" w:hAnsiTheme="minorEastAsia" w:cs="仿宋" w:hint="eastAsia"/>
          <w:spacing w:val="-1"/>
          <w:sz w:val="32"/>
          <w:szCs w:val="32"/>
          <w:lang w:val="zh-TW" w:eastAsia="zh-TW"/>
        </w:rPr>
        <w:t>三</w:t>
      </w:r>
      <w:r w:rsidRPr="00B97A3D">
        <w:rPr>
          <w:rFonts w:ascii="仿宋_GB2312" w:eastAsia="仿宋_GB2312" w:hAnsiTheme="minorEastAsia" w:cs="仿宋" w:hint="eastAsia"/>
          <w:spacing w:val="-1"/>
          <w:sz w:val="32"/>
          <w:szCs w:val="32"/>
          <w:lang w:val="zh-TW" w:eastAsia="zh-TW"/>
        </w:rPr>
        <w:t>条</w:t>
      </w:r>
      <w:r w:rsidRPr="006D7906">
        <w:rPr>
          <w:rFonts w:ascii="仿宋_GB2312" w:eastAsia="仿宋_GB2312" w:hAnsiTheme="minorEastAsia" w:cs="仿宋" w:hint="eastAsia"/>
          <w:spacing w:val="-1"/>
          <w:sz w:val="32"/>
          <w:szCs w:val="32"/>
          <w:lang w:val="zh-TW" w:eastAsia="zh-TW"/>
        </w:rPr>
        <w:t xml:space="preserve">  </w:t>
      </w:r>
      <w:r w:rsidRPr="00B97A3D">
        <w:rPr>
          <w:rFonts w:ascii="仿宋_GB2312" w:eastAsia="仿宋_GB2312" w:hAnsiTheme="minorEastAsia" w:cs="仿宋" w:hint="eastAsia"/>
          <w:spacing w:val="-1"/>
          <w:sz w:val="32"/>
          <w:szCs w:val="32"/>
          <w:lang w:val="zh-TW" w:eastAsia="zh-TW"/>
        </w:rPr>
        <w:t>在银行的利息收入和支出预测中宜根据银行的贷款结构和确定的利率标准计算利率收入和利息支出。</w:t>
      </w:r>
    </w:p>
    <w:p w:rsidR="0024679C" w:rsidRPr="006D7906" w:rsidRDefault="007D58A5"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第十四</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在寿险公司的已赚保费和保费收入预测中，应根据评估基准日已经签署的保险合同和企业的发展策略合理预测未来的保费收入。</w:t>
      </w:r>
    </w:p>
    <w:p w:rsidR="0024679C" w:rsidRPr="006D7906" w:rsidRDefault="007D58A5"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第十五</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寿险公司准备金的预测除根据现行的监管文件预测外，可以借助于保险公司的精算软件。</w:t>
      </w:r>
    </w:p>
    <w:p w:rsidR="0024679C" w:rsidRPr="006D7906" w:rsidRDefault="007D58A5"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第十六</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保险公司的手续费收入预测中根据国民经济的整体发展和保险深度的加强，对未来市场进行预测，得出不同产品的保险业务收入。</w:t>
      </w:r>
    </w:p>
    <w:p w:rsidR="0024679C" w:rsidRPr="00B97A3D" w:rsidRDefault="007D58A5"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lastRenderedPageBreak/>
        <w:t>第十七</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信托公司的手续费收入预测中宜通过合理预测信托资产规模和信托手续费费率，其中信托手续费率宜采用评估对象本身的费率。</w:t>
      </w:r>
    </w:p>
    <w:p w:rsidR="0024679C" w:rsidRPr="006D7906" w:rsidRDefault="007D58A5"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第十八条</w:t>
      </w:r>
      <w:r w:rsidR="00BE5C04">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金融企业的投资收益的预测宜根据资产配置规模和期望报酬率合理预测，其中投资收益的期望报酬率应注意与折现率中采用的股东期望报酬率之间的匹配关系。</w:t>
      </w:r>
    </w:p>
    <w:p w:rsidR="0024679C" w:rsidRPr="00B97A3D"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w:t>
      </w:r>
      <w:r w:rsidR="00C06F5D" w:rsidRPr="00B97A3D">
        <w:rPr>
          <w:rFonts w:ascii="仿宋_GB2312" w:eastAsia="仿宋_GB2312" w:hAnsiTheme="minorEastAsia" w:cs="仿宋" w:hint="eastAsia"/>
          <w:spacing w:val="-1"/>
          <w:sz w:val="32"/>
          <w:szCs w:val="32"/>
          <w:lang w:val="zh-TW" w:eastAsia="zh-TW"/>
        </w:rPr>
        <w:t>十九</w:t>
      </w:r>
      <w:r w:rsidRPr="00B97A3D">
        <w:rPr>
          <w:rFonts w:ascii="仿宋_GB2312" w:eastAsia="仿宋_GB2312" w:hAnsiTheme="minorEastAsia" w:cs="仿宋" w:hint="eastAsia"/>
          <w:spacing w:val="-1"/>
          <w:sz w:val="32"/>
          <w:szCs w:val="32"/>
          <w:lang w:val="zh-TW" w:eastAsia="zh-TW"/>
        </w:rPr>
        <w:t>条</w:t>
      </w:r>
      <w:r w:rsidRPr="006D7906">
        <w:rPr>
          <w:rFonts w:ascii="仿宋_GB2312" w:eastAsia="仿宋_GB2312" w:hAnsiTheme="minorEastAsia" w:cs="仿宋" w:hint="eastAsia"/>
          <w:spacing w:val="-1"/>
          <w:sz w:val="32"/>
          <w:szCs w:val="32"/>
          <w:lang w:val="zh-TW" w:eastAsia="zh-TW"/>
        </w:rPr>
        <w:t xml:space="preserve">  </w:t>
      </w:r>
      <w:r w:rsidRPr="00B97A3D">
        <w:rPr>
          <w:rFonts w:ascii="仿宋_GB2312" w:eastAsia="仿宋_GB2312" w:hAnsiTheme="minorEastAsia" w:cs="仿宋" w:hint="eastAsia"/>
          <w:spacing w:val="-1"/>
          <w:sz w:val="32"/>
          <w:szCs w:val="32"/>
          <w:lang w:val="zh-TW" w:eastAsia="zh-TW"/>
        </w:rPr>
        <w:t>金融企业的营业费用预测中，应考虑随着营业收入带来的费用必然增长。</w:t>
      </w:r>
    </w:p>
    <w:p w:rsidR="00C06F5D" w:rsidRPr="006D7906" w:rsidRDefault="00C06F5D"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在费用预测中，可以根据企业的核算特点，分别固定性费用和变动性费用测算，其中人员费用应注意到人员数量与人均工资薪酬的匹配。同时应知悉同行业的平均水平。</w:t>
      </w:r>
    </w:p>
    <w:p w:rsidR="0024679C" w:rsidRPr="00B97A3D"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第二十条</w:t>
      </w:r>
      <w:r w:rsidRPr="006D7906">
        <w:rPr>
          <w:rFonts w:ascii="仿宋_GB2312" w:eastAsia="仿宋_GB2312" w:hAnsiTheme="minorEastAsia" w:cs="仿宋" w:hint="eastAsia"/>
          <w:spacing w:val="-1"/>
          <w:sz w:val="32"/>
          <w:szCs w:val="32"/>
          <w:lang w:val="zh-TW" w:eastAsia="zh-TW"/>
        </w:rPr>
        <w:t xml:space="preserve">  </w:t>
      </w:r>
      <w:r w:rsidRPr="00B97A3D">
        <w:rPr>
          <w:rFonts w:ascii="仿宋_GB2312" w:eastAsia="仿宋_GB2312" w:hAnsiTheme="minorEastAsia" w:cs="仿宋" w:hint="eastAsia"/>
          <w:spacing w:val="-1"/>
          <w:sz w:val="32"/>
          <w:szCs w:val="32"/>
          <w:lang w:val="zh-TW" w:eastAsia="zh-TW"/>
        </w:rPr>
        <w:t>金融企业的资本性支出科目的预测应根据行业监管的要求逐年测算，特别注意监管中对于净资本的要求。</w:t>
      </w:r>
      <w:r w:rsidR="00C06F5D" w:rsidRPr="00B97A3D">
        <w:rPr>
          <w:rFonts w:ascii="仿宋_GB2312" w:eastAsia="仿宋_GB2312" w:hAnsiTheme="minorEastAsia" w:cs="仿宋" w:hint="eastAsia"/>
          <w:spacing w:val="-1"/>
          <w:sz w:val="32"/>
          <w:szCs w:val="32"/>
          <w:lang w:val="zh-TW" w:eastAsia="zh-TW"/>
        </w:rPr>
        <w:t>如：</w:t>
      </w:r>
      <w:r w:rsidR="009D1BE0" w:rsidRPr="00B97A3D">
        <w:rPr>
          <w:rFonts w:ascii="仿宋_GB2312" w:eastAsia="仿宋_GB2312" w:hAnsiTheme="minorEastAsia" w:cs="仿宋" w:hint="eastAsia"/>
          <w:spacing w:val="-1"/>
          <w:sz w:val="32"/>
          <w:szCs w:val="32"/>
          <w:lang w:val="zh-TW" w:eastAsia="zh-TW"/>
        </w:rPr>
        <w:t>根据银行业监督管理部门对</w:t>
      </w:r>
      <w:r w:rsidR="00C06F5D" w:rsidRPr="00B97A3D">
        <w:rPr>
          <w:rFonts w:ascii="仿宋_GB2312" w:eastAsia="仿宋_GB2312" w:hAnsiTheme="minorEastAsia" w:cs="仿宋" w:hint="eastAsia"/>
          <w:spacing w:val="-1"/>
          <w:sz w:val="32"/>
          <w:szCs w:val="32"/>
          <w:lang w:val="zh-TW" w:eastAsia="zh-TW"/>
        </w:rPr>
        <w:t>银行</w:t>
      </w:r>
      <w:r w:rsidR="009D1BE0" w:rsidRPr="00B97A3D">
        <w:rPr>
          <w:rFonts w:ascii="仿宋_GB2312" w:eastAsia="仿宋_GB2312" w:hAnsiTheme="minorEastAsia" w:cs="仿宋" w:hint="eastAsia"/>
          <w:spacing w:val="-1"/>
          <w:sz w:val="32"/>
          <w:szCs w:val="32"/>
          <w:lang w:val="zh-TW" w:eastAsia="zh-TW"/>
        </w:rPr>
        <w:t>的资本充足率的要求，预测银行的资本、净资本，并转化为净资产，体现在预测的资产负债表中。</w:t>
      </w:r>
    </w:p>
    <w:p w:rsidR="00917F22"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第二十一条  在金融控股公司的评估中，有两种思路可供选择。</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第一种思路：母公司报表基础下评估金融控股公司价值</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在这种模式下，金融控股公司总部为管理性总部，为费用中心，发挥控股内部资源配置的作用。各子公司在总部的</w:t>
      </w:r>
      <w:r w:rsidRPr="00B97A3D">
        <w:rPr>
          <w:rFonts w:ascii="仿宋_GB2312" w:eastAsia="仿宋_GB2312" w:hAnsiTheme="minorEastAsia" w:cs="仿宋" w:hint="eastAsia"/>
          <w:spacing w:val="-1"/>
          <w:sz w:val="32"/>
          <w:szCs w:val="32"/>
          <w:lang w:val="zh-TW" w:eastAsia="zh-TW"/>
        </w:rPr>
        <w:lastRenderedPageBreak/>
        <w:t>管理下根据业务范围独立经营，在收益法评估中，可以对金融控股企业母公司及各长</w:t>
      </w:r>
      <w:proofErr w:type="gramStart"/>
      <w:r w:rsidRPr="00B97A3D">
        <w:rPr>
          <w:rFonts w:ascii="仿宋_GB2312" w:eastAsia="仿宋_GB2312" w:hAnsiTheme="minorEastAsia" w:cs="仿宋" w:hint="eastAsia"/>
          <w:spacing w:val="-1"/>
          <w:sz w:val="32"/>
          <w:szCs w:val="32"/>
          <w:lang w:val="zh-TW" w:eastAsia="zh-TW"/>
        </w:rPr>
        <w:t>投板块</w:t>
      </w:r>
      <w:proofErr w:type="gramEnd"/>
      <w:r w:rsidRPr="00B97A3D">
        <w:rPr>
          <w:rFonts w:ascii="仿宋_GB2312" w:eastAsia="仿宋_GB2312" w:hAnsiTheme="minorEastAsia" w:cs="仿宋" w:hint="eastAsia"/>
          <w:spacing w:val="-1"/>
          <w:sz w:val="32"/>
          <w:szCs w:val="32"/>
          <w:lang w:val="zh-TW" w:eastAsia="zh-TW"/>
        </w:rPr>
        <w:t>分别采用相应的收益法评估模型进行评估，将各长</w:t>
      </w:r>
      <w:proofErr w:type="gramStart"/>
      <w:r w:rsidRPr="00B97A3D">
        <w:rPr>
          <w:rFonts w:ascii="仿宋_GB2312" w:eastAsia="仿宋_GB2312" w:hAnsiTheme="minorEastAsia" w:cs="仿宋" w:hint="eastAsia"/>
          <w:spacing w:val="-1"/>
          <w:sz w:val="32"/>
          <w:szCs w:val="32"/>
          <w:lang w:val="zh-TW" w:eastAsia="zh-TW"/>
        </w:rPr>
        <w:t>投板块</w:t>
      </w:r>
      <w:proofErr w:type="gramEnd"/>
      <w:r w:rsidRPr="00B97A3D">
        <w:rPr>
          <w:rFonts w:ascii="仿宋_GB2312" w:eastAsia="仿宋_GB2312" w:hAnsiTheme="minorEastAsia" w:cs="仿宋" w:hint="eastAsia"/>
          <w:spacing w:val="-1"/>
          <w:sz w:val="32"/>
          <w:szCs w:val="32"/>
          <w:lang w:val="zh-TW" w:eastAsia="zh-TW"/>
        </w:rPr>
        <w:t>评估值作为溢</w:t>
      </w:r>
      <w:proofErr w:type="gramStart"/>
      <w:r w:rsidRPr="00B97A3D">
        <w:rPr>
          <w:rFonts w:ascii="仿宋_GB2312" w:eastAsia="仿宋_GB2312" w:hAnsiTheme="minorEastAsia" w:cs="仿宋" w:hint="eastAsia"/>
          <w:spacing w:val="-1"/>
          <w:sz w:val="32"/>
          <w:szCs w:val="32"/>
          <w:lang w:val="zh-TW" w:eastAsia="zh-TW"/>
        </w:rPr>
        <w:t>余资产</w:t>
      </w:r>
      <w:proofErr w:type="gramEnd"/>
      <w:r w:rsidRPr="00B97A3D">
        <w:rPr>
          <w:rFonts w:ascii="仿宋_GB2312" w:eastAsia="仿宋_GB2312" w:hAnsiTheme="minorEastAsia" w:cs="仿宋" w:hint="eastAsia"/>
          <w:spacing w:val="-1"/>
          <w:sz w:val="32"/>
          <w:szCs w:val="32"/>
          <w:lang w:val="zh-TW" w:eastAsia="zh-TW"/>
        </w:rPr>
        <w:t>加回。</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各长</w:t>
      </w:r>
      <w:proofErr w:type="gramStart"/>
      <w:r w:rsidRPr="00B97A3D">
        <w:rPr>
          <w:rFonts w:ascii="仿宋_GB2312" w:eastAsia="仿宋_GB2312" w:hAnsiTheme="minorEastAsia" w:cs="仿宋" w:hint="eastAsia"/>
          <w:spacing w:val="-1"/>
          <w:sz w:val="32"/>
          <w:szCs w:val="32"/>
          <w:lang w:val="zh-TW" w:eastAsia="zh-TW"/>
        </w:rPr>
        <w:t>投</w:t>
      </w:r>
      <w:r w:rsidR="009E788E" w:rsidRPr="00B97A3D">
        <w:rPr>
          <w:rFonts w:ascii="仿宋_GB2312" w:eastAsia="仿宋_GB2312" w:hAnsiTheme="minorEastAsia" w:cs="仿宋" w:hint="eastAsia"/>
          <w:spacing w:val="-1"/>
          <w:sz w:val="32"/>
          <w:szCs w:val="32"/>
          <w:lang w:val="zh-TW" w:eastAsia="zh-TW"/>
        </w:rPr>
        <w:t>板块</w:t>
      </w:r>
      <w:proofErr w:type="gramEnd"/>
      <w:r w:rsidRPr="00B97A3D">
        <w:rPr>
          <w:rFonts w:ascii="仿宋_GB2312" w:eastAsia="仿宋_GB2312" w:hAnsiTheme="minorEastAsia" w:cs="仿宋" w:hint="eastAsia"/>
          <w:spacing w:val="-1"/>
          <w:sz w:val="32"/>
          <w:szCs w:val="32"/>
          <w:lang w:val="zh-TW" w:eastAsia="zh-TW"/>
        </w:rPr>
        <w:t>评估模型的参数确定参照以上各章节中介绍的方法进行。不同之处在于金融控股公司母公司的折现率，可参照各个</w:t>
      </w:r>
      <w:r w:rsidR="009E788E" w:rsidRPr="00B97A3D">
        <w:rPr>
          <w:rFonts w:ascii="仿宋_GB2312" w:eastAsia="仿宋_GB2312" w:hAnsiTheme="minorEastAsia" w:cs="仿宋" w:hint="eastAsia"/>
          <w:spacing w:val="-1"/>
          <w:sz w:val="32"/>
          <w:szCs w:val="32"/>
          <w:lang w:val="zh-TW" w:eastAsia="zh-TW"/>
        </w:rPr>
        <w:t>板块</w:t>
      </w:r>
      <w:r w:rsidRPr="00B97A3D">
        <w:rPr>
          <w:rFonts w:ascii="仿宋_GB2312" w:eastAsia="仿宋_GB2312" w:hAnsiTheme="minorEastAsia" w:cs="仿宋" w:hint="eastAsia"/>
          <w:spacing w:val="-1"/>
          <w:sz w:val="32"/>
          <w:szCs w:val="32"/>
          <w:lang w:val="zh-TW" w:eastAsia="zh-TW"/>
        </w:rPr>
        <w:t>所在行业上市公司的风险系数结合板块权重进行设定。权重的确定通常根据收入或者利润比重进行测算，不应以资产作为权重确定的依据。</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这种评估思路的优点是途径清晰，无需考虑剔除少数股东权益；缺点是金融控股企业各</w:t>
      </w:r>
      <w:r w:rsidR="009E788E" w:rsidRPr="00B97A3D">
        <w:rPr>
          <w:rFonts w:ascii="仿宋_GB2312" w:eastAsia="仿宋_GB2312" w:hAnsiTheme="minorEastAsia" w:cs="仿宋" w:hint="eastAsia"/>
          <w:spacing w:val="-1"/>
          <w:sz w:val="32"/>
          <w:szCs w:val="32"/>
          <w:lang w:val="zh-TW" w:eastAsia="zh-TW"/>
        </w:rPr>
        <w:t>板块</w:t>
      </w:r>
      <w:r w:rsidRPr="00B97A3D">
        <w:rPr>
          <w:rFonts w:ascii="仿宋_GB2312" w:eastAsia="仿宋_GB2312" w:hAnsiTheme="minorEastAsia" w:cs="仿宋" w:hint="eastAsia"/>
          <w:spacing w:val="-1"/>
          <w:sz w:val="32"/>
          <w:szCs w:val="32"/>
          <w:lang w:val="zh-TW" w:eastAsia="zh-TW"/>
        </w:rPr>
        <w:t>间的协同效应未能在估值中得到有效反映。</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第二种思路：以合并会计报表和分部报告为基础评估金融控股公司价值</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这种思路以金融控股企业合并利润表，分析合并口径的收入和成本构成，一般以合并审计报告中披露的分部报告信息作为预测基础，对各个</w:t>
      </w:r>
      <w:r w:rsidR="009E788E" w:rsidRPr="00B97A3D">
        <w:rPr>
          <w:rFonts w:ascii="仿宋_GB2312" w:eastAsia="仿宋_GB2312" w:hAnsiTheme="minorEastAsia" w:cs="仿宋" w:hint="eastAsia"/>
          <w:spacing w:val="-1"/>
          <w:sz w:val="32"/>
          <w:szCs w:val="32"/>
          <w:lang w:val="zh-TW" w:eastAsia="zh-TW"/>
        </w:rPr>
        <w:t>板块</w:t>
      </w:r>
      <w:r w:rsidRPr="00B97A3D">
        <w:rPr>
          <w:rFonts w:ascii="仿宋_GB2312" w:eastAsia="仿宋_GB2312" w:hAnsiTheme="minorEastAsia" w:cs="仿宋" w:hint="eastAsia"/>
          <w:spacing w:val="-1"/>
          <w:sz w:val="32"/>
          <w:szCs w:val="32"/>
          <w:lang w:val="zh-TW" w:eastAsia="zh-TW"/>
        </w:rPr>
        <w:t>业务类型逐一了解、分析，确定各个业务的收入和成本。这个过程和思路一中途径近似。</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在管理费用和营业费用的预测中，需要就金融控股公司整体测算，考虑各个板块之间的协同性。</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这种评估思路的优点是能够在估值中反映板块间的协同效应。但是这种思路在操作中对于合并层面的所得税预测和</w:t>
      </w:r>
      <w:r w:rsidRPr="00B97A3D">
        <w:rPr>
          <w:rFonts w:ascii="仿宋_GB2312" w:eastAsia="仿宋_GB2312" w:hAnsiTheme="minorEastAsia" w:cs="仿宋" w:hint="eastAsia"/>
          <w:spacing w:val="-1"/>
          <w:sz w:val="32"/>
          <w:szCs w:val="32"/>
          <w:lang w:val="zh-TW" w:eastAsia="zh-TW"/>
        </w:rPr>
        <w:lastRenderedPageBreak/>
        <w:t>少数股东损益的预测较为复杂。</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我国目前的所得税政策在很大程度上出现了与会计准则趋同的趋势，会计政策与所得税政策之间的时间性差异在会计准则下基本得到了解决，永久性差异未能得到解决，但是永久性差异对价值评估而言，比重较小，可以忽略不计。</w:t>
      </w:r>
    </w:p>
    <w:p w:rsidR="009D1BE0" w:rsidRPr="00B97A3D" w:rsidRDefault="009D1BE0"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少数股东损益是按照各个子公司的公司章程规定，对利润分配形成的结果，由于金融公司对各专业公司持股比例可能存在差异，少数股东损益应根据各公司盈利状况单独确定，加</w:t>
      </w:r>
      <w:proofErr w:type="gramStart"/>
      <w:r w:rsidRPr="00B97A3D">
        <w:rPr>
          <w:rFonts w:ascii="仿宋_GB2312" w:eastAsia="仿宋_GB2312" w:hAnsiTheme="minorEastAsia" w:cs="仿宋" w:hint="eastAsia"/>
          <w:spacing w:val="-1"/>
          <w:sz w:val="32"/>
          <w:szCs w:val="32"/>
          <w:lang w:val="zh-TW" w:eastAsia="zh-TW"/>
        </w:rPr>
        <w:t>总确定</w:t>
      </w:r>
      <w:proofErr w:type="gramEnd"/>
      <w:r w:rsidRPr="00B97A3D">
        <w:rPr>
          <w:rFonts w:ascii="仿宋_GB2312" w:eastAsia="仿宋_GB2312" w:hAnsiTheme="minorEastAsia" w:cs="仿宋" w:hint="eastAsia"/>
          <w:spacing w:val="-1"/>
          <w:sz w:val="32"/>
          <w:szCs w:val="32"/>
          <w:lang w:val="zh-TW" w:eastAsia="zh-TW"/>
        </w:rPr>
        <w:t>少数股东损益。</w:t>
      </w:r>
    </w:p>
    <w:p w:rsidR="00D90873" w:rsidRPr="00B97A3D" w:rsidRDefault="00D90873"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
    <w:p w:rsidR="0024679C" w:rsidRPr="0095199E" w:rsidRDefault="006E3491" w:rsidP="0095199E">
      <w:pPr>
        <w:adjustRightInd w:val="0"/>
        <w:snapToGrid w:val="0"/>
        <w:spacing w:line="360" w:lineRule="auto"/>
        <w:ind w:firstLineChars="200" w:firstLine="640"/>
        <w:rPr>
          <w:rFonts w:ascii="仿宋_GB2312" w:eastAsia="仿宋_GB2312" w:hAnsiTheme="minorEastAsia" w:cs="仿宋"/>
          <w:b/>
          <w:spacing w:val="-1"/>
          <w:sz w:val="32"/>
          <w:szCs w:val="32"/>
          <w:lang w:val="zh-TW" w:eastAsia="zh-TW"/>
        </w:rPr>
      </w:pPr>
      <w:r w:rsidRPr="0095199E">
        <w:rPr>
          <w:rFonts w:ascii="仿宋_GB2312" w:eastAsia="仿宋_GB2312" w:hAnsiTheme="minorEastAsia" w:cs="仿宋" w:hint="eastAsia"/>
          <w:b/>
          <w:spacing w:val="-1"/>
          <w:sz w:val="32"/>
          <w:szCs w:val="32"/>
          <w:lang w:val="zh-TW" w:eastAsia="zh-TW"/>
        </w:rPr>
        <w:t>四、评估参数</w:t>
      </w:r>
    </w:p>
    <w:p w:rsidR="0024679C" w:rsidRPr="00B97A3D"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第二十</w:t>
      </w:r>
      <w:r w:rsidR="009E788E" w:rsidRPr="006D7906">
        <w:rPr>
          <w:rFonts w:ascii="仿宋_GB2312" w:eastAsia="仿宋_GB2312" w:hAnsiTheme="minorEastAsia" w:cs="仿宋" w:hint="eastAsia"/>
          <w:spacing w:val="-1"/>
          <w:sz w:val="32"/>
          <w:szCs w:val="32"/>
          <w:lang w:val="zh-TW" w:eastAsia="zh-TW"/>
        </w:rPr>
        <w:t>二</w:t>
      </w:r>
      <w:r w:rsidRPr="006D7906">
        <w:rPr>
          <w:rFonts w:ascii="仿宋_GB2312" w:eastAsia="仿宋_GB2312" w:hAnsiTheme="minorEastAsia" w:cs="仿宋" w:hint="eastAsia"/>
          <w:spacing w:val="-1"/>
          <w:sz w:val="32"/>
          <w:szCs w:val="32"/>
          <w:lang w:val="zh-TW" w:eastAsia="zh-TW"/>
        </w:rPr>
        <w:t xml:space="preserve">条  </w:t>
      </w:r>
      <w:r w:rsidRPr="00B97A3D">
        <w:rPr>
          <w:rFonts w:ascii="仿宋_GB2312" w:eastAsia="仿宋_GB2312" w:hAnsiTheme="minorEastAsia" w:cs="仿宋" w:hint="eastAsia"/>
          <w:spacing w:val="-1"/>
          <w:sz w:val="32"/>
          <w:szCs w:val="32"/>
          <w:lang w:val="zh-TW" w:eastAsia="zh-TW"/>
        </w:rPr>
        <w:t>金融企业控股权评估业务中，宜采用股权自由现金流作为折现因子，采用资本资产定价模型（</w:t>
      </w:r>
      <w:r w:rsidRPr="006D7906">
        <w:rPr>
          <w:rFonts w:ascii="仿宋_GB2312" w:eastAsia="仿宋_GB2312" w:hAnsiTheme="minorEastAsia" w:cs="仿宋" w:hint="eastAsia"/>
          <w:spacing w:val="-1"/>
          <w:sz w:val="32"/>
          <w:szCs w:val="32"/>
          <w:lang w:val="zh-TW" w:eastAsia="zh-TW"/>
        </w:rPr>
        <w:t>CAPM</w:t>
      </w:r>
      <w:r w:rsidRPr="00B97A3D">
        <w:rPr>
          <w:rFonts w:ascii="仿宋_GB2312" w:eastAsia="仿宋_GB2312" w:hAnsiTheme="minorEastAsia" w:cs="仿宋" w:hint="eastAsia"/>
          <w:spacing w:val="-1"/>
          <w:sz w:val="32"/>
          <w:szCs w:val="32"/>
          <w:lang w:val="zh-TW" w:eastAsia="zh-TW"/>
        </w:rPr>
        <w:t>）等确定折现率。</w:t>
      </w:r>
    </w:p>
    <w:p w:rsidR="009E788E" w:rsidRPr="00B97A3D" w:rsidRDefault="009E788E" w:rsidP="006D7906">
      <w:pPr>
        <w:adjustRightInd w:val="0"/>
        <w:snapToGrid w:val="0"/>
        <w:spacing w:line="360" w:lineRule="auto"/>
        <w:ind w:firstLineChars="200" w:firstLine="638"/>
        <w:rPr>
          <w:rFonts w:ascii="仿宋_GB2312" w:eastAsia="仿宋_GB2312" w:hAnsiTheme="minorEastAsia"/>
          <w:spacing w:val="-1"/>
          <w:sz w:val="32"/>
          <w:szCs w:val="32"/>
          <w:lang w:eastAsia="zh-CN"/>
        </w:rPr>
      </w:pPr>
      <w:r w:rsidRPr="00B97A3D">
        <w:rPr>
          <w:rFonts w:ascii="仿宋_GB2312" w:eastAsia="仿宋_GB2312" w:hAnsiTheme="minorEastAsia" w:hint="eastAsia"/>
          <w:spacing w:val="-1"/>
          <w:sz w:val="32"/>
          <w:szCs w:val="32"/>
          <w:lang w:eastAsia="zh-CN"/>
        </w:rPr>
        <w:tab/>
      </w:r>
      <w:r w:rsidRPr="00B97A3D">
        <w:rPr>
          <w:rFonts w:ascii="仿宋_GB2312" w:eastAsia="仿宋_GB2312" w:hAnsiTheme="minorEastAsia" w:hint="eastAsia"/>
          <w:spacing w:val="-1"/>
          <w:sz w:val="32"/>
          <w:szCs w:val="32"/>
          <w:lang w:eastAsia="zh-CN"/>
        </w:rPr>
        <w:object w:dxaOrig="2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8.75pt" o:ole="">
            <v:imagedata r:id="rId8" o:title=""/>
          </v:shape>
          <o:OLEObject Type="Embed" ProgID="Equation.3" ShapeID="_x0000_i1025" DrawAspect="Content" ObjectID="_1478087537" r:id="rId9"/>
        </w:object>
      </w:r>
      <w:r w:rsidRPr="00B97A3D">
        <w:rPr>
          <w:rFonts w:ascii="仿宋_GB2312" w:eastAsia="仿宋_GB2312" w:hAnsiTheme="minorEastAsia" w:hint="eastAsia"/>
          <w:spacing w:val="-1"/>
          <w:sz w:val="32"/>
          <w:szCs w:val="32"/>
          <w:lang w:eastAsia="zh-CN"/>
        </w:rPr>
        <w:tab/>
        <w:t xml:space="preserve">                 </w:t>
      </w:r>
    </w:p>
    <w:p w:rsidR="009E788E" w:rsidRPr="006D7906" w:rsidRDefault="009E788E"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式中：</w:t>
      </w:r>
    </w:p>
    <w:p w:rsidR="009E788E" w:rsidRPr="006D7906" w:rsidRDefault="009E788E"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roofErr w:type="spellStart"/>
      <w:r w:rsidRPr="006D7906">
        <w:rPr>
          <w:rFonts w:ascii="仿宋_GB2312" w:eastAsia="仿宋_GB2312" w:hAnsiTheme="minorEastAsia" w:cs="仿宋" w:hint="eastAsia"/>
          <w:spacing w:val="-1"/>
          <w:sz w:val="32"/>
          <w:szCs w:val="32"/>
          <w:lang w:val="zh-TW" w:eastAsia="zh-TW"/>
        </w:rPr>
        <w:t>rf</w:t>
      </w:r>
      <w:proofErr w:type="spellEnd"/>
      <w:r w:rsidRPr="006D7906">
        <w:rPr>
          <w:rFonts w:ascii="仿宋_GB2312" w:eastAsia="仿宋_GB2312" w:hAnsiTheme="minorEastAsia" w:cs="仿宋" w:hint="eastAsia"/>
          <w:spacing w:val="-1"/>
          <w:sz w:val="32"/>
          <w:szCs w:val="32"/>
          <w:lang w:val="zh-TW" w:eastAsia="zh-TW"/>
        </w:rPr>
        <w:t>：无风险报酬率；</w:t>
      </w:r>
    </w:p>
    <w:p w:rsidR="009E788E" w:rsidRPr="006D7906" w:rsidRDefault="009E788E"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roofErr w:type="spellStart"/>
      <w:r w:rsidRPr="006D7906">
        <w:rPr>
          <w:rFonts w:ascii="仿宋_GB2312" w:eastAsia="仿宋_GB2312" w:hAnsiTheme="minorEastAsia" w:cs="仿宋" w:hint="eastAsia"/>
          <w:spacing w:val="-1"/>
          <w:sz w:val="32"/>
          <w:szCs w:val="32"/>
          <w:lang w:val="zh-TW" w:eastAsia="zh-TW"/>
        </w:rPr>
        <w:t>rm</w:t>
      </w:r>
      <w:proofErr w:type="spellEnd"/>
      <w:r w:rsidRPr="006D7906">
        <w:rPr>
          <w:rFonts w:ascii="仿宋_GB2312" w:eastAsia="仿宋_GB2312" w:hAnsiTheme="minorEastAsia" w:cs="仿宋" w:hint="eastAsia"/>
          <w:spacing w:val="-1"/>
          <w:sz w:val="32"/>
          <w:szCs w:val="32"/>
          <w:lang w:val="zh-TW" w:eastAsia="zh-TW"/>
        </w:rPr>
        <w:t>：市场期望报酬率；</w:t>
      </w:r>
    </w:p>
    <w:p w:rsidR="009E788E" w:rsidRPr="006D7906" w:rsidRDefault="009E788E"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βe：评估对象权益资本的预期市场风险系数；</w:t>
      </w:r>
    </w:p>
    <w:p w:rsidR="009E788E" w:rsidRPr="006D7906" w:rsidRDefault="009E788E"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6D7906">
        <w:rPr>
          <w:rFonts w:ascii="仿宋_GB2312" w:eastAsia="仿宋_GB2312" w:hAnsiTheme="minorEastAsia" w:cs="仿宋" w:hint="eastAsia"/>
          <w:spacing w:val="-1"/>
          <w:sz w:val="32"/>
          <w:szCs w:val="32"/>
          <w:lang w:val="zh-TW" w:eastAsia="zh-TW"/>
        </w:rPr>
        <w:t>ε：特有风险调整系数。</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第二十</w:t>
      </w:r>
      <w:r w:rsidR="004F1F59" w:rsidRPr="00B97A3D">
        <w:rPr>
          <w:rFonts w:ascii="仿宋_GB2312" w:eastAsia="仿宋_GB2312" w:hAnsiTheme="minorEastAsia" w:cs="仿宋" w:hint="eastAsia"/>
          <w:spacing w:val="-1"/>
          <w:sz w:val="32"/>
          <w:szCs w:val="32"/>
          <w:lang w:val="zh-TW" w:eastAsia="zh-TW"/>
        </w:rPr>
        <w:t>三</w:t>
      </w:r>
      <w:r w:rsidRPr="00B97A3D">
        <w:rPr>
          <w:rFonts w:ascii="仿宋_GB2312" w:eastAsia="仿宋_GB2312" w:hAnsiTheme="minorEastAsia" w:cs="仿宋" w:hint="eastAsia"/>
          <w:spacing w:val="-1"/>
          <w:sz w:val="32"/>
          <w:szCs w:val="32"/>
          <w:lang w:val="zh-TW" w:eastAsia="zh-TW"/>
        </w:rPr>
        <w:t>条  在采用企业现金流量折现模型评估中，折</w:t>
      </w:r>
      <w:r w:rsidRPr="00B97A3D">
        <w:rPr>
          <w:rFonts w:ascii="仿宋_GB2312" w:eastAsia="仿宋_GB2312" w:hAnsiTheme="minorEastAsia" w:cs="仿宋" w:hint="eastAsia"/>
          <w:spacing w:val="-1"/>
          <w:sz w:val="32"/>
          <w:szCs w:val="32"/>
          <w:lang w:val="zh-TW" w:eastAsia="zh-TW"/>
        </w:rPr>
        <w:lastRenderedPageBreak/>
        <w:t>现率应采取WACC</w:t>
      </w:r>
      <w:r w:rsidR="004F1F59" w:rsidRPr="00B97A3D">
        <w:rPr>
          <w:rFonts w:ascii="仿宋_GB2312" w:eastAsia="仿宋_GB2312" w:hAnsiTheme="minorEastAsia" w:cs="仿宋" w:hint="eastAsia"/>
          <w:spacing w:val="-1"/>
          <w:sz w:val="32"/>
          <w:szCs w:val="32"/>
          <w:lang w:val="zh-TW" w:eastAsia="zh-TW"/>
        </w:rPr>
        <w:t>模型确定，其中，企业的资本结构宜根据预测期的资本结构</w:t>
      </w:r>
      <w:r w:rsidRPr="00B97A3D">
        <w:rPr>
          <w:rFonts w:ascii="仿宋_GB2312" w:eastAsia="仿宋_GB2312" w:hAnsiTheme="minorEastAsia" w:cs="仿宋" w:hint="eastAsia"/>
          <w:spacing w:val="-1"/>
          <w:sz w:val="32"/>
          <w:szCs w:val="32"/>
          <w:lang w:val="zh-TW" w:eastAsia="zh-TW"/>
        </w:rPr>
        <w:t>动态</w:t>
      </w:r>
      <w:r w:rsidR="004F1F59" w:rsidRPr="00B97A3D">
        <w:rPr>
          <w:rFonts w:ascii="仿宋_GB2312" w:eastAsia="仿宋_GB2312" w:hAnsiTheme="minorEastAsia" w:cs="仿宋" w:hint="eastAsia"/>
          <w:spacing w:val="-1"/>
          <w:sz w:val="32"/>
          <w:szCs w:val="32"/>
          <w:lang w:val="zh-TW" w:eastAsia="zh-TW"/>
        </w:rPr>
        <w:t>确定</w:t>
      </w:r>
      <w:r w:rsidRPr="00B97A3D">
        <w:rPr>
          <w:rFonts w:ascii="仿宋_GB2312" w:eastAsia="仿宋_GB2312" w:hAnsiTheme="minorEastAsia" w:cs="仿宋" w:hint="eastAsia"/>
          <w:spacing w:val="-1"/>
          <w:sz w:val="32"/>
          <w:szCs w:val="32"/>
          <w:lang w:val="zh-TW" w:eastAsia="zh-TW"/>
        </w:rPr>
        <w:t>。</w:t>
      </w:r>
    </w:p>
    <w:p w:rsidR="0024679C" w:rsidRPr="00B97A3D" w:rsidRDefault="004F1F59"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第二十四</w:t>
      </w:r>
      <w:r w:rsidR="006E3491" w:rsidRPr="00B97A3D">
        <w:rPr>
          <w:rFonts w:ascii="仿宋_GB2312" w:eastAsia="仿宋_GB2312" w:hAnsiTheme="minorEastAsia" w:cs="仿宋" w:hint="eastAsia"/>
          <w:spacing w:val="-1"/>
          <w:sz w:val="32"/>
          <w:szCs w:val="32"/>
          <w:lang w:val="zh-TW" w:eastAsia="zh-TW"/>
        </w:rPr>
        <w:t>条</w:t>
      </w:r>
      <w:r w:rsidR="006E3491" w:rsidRPr="006D7906">
        <w:rPr>
          <w:rFonts w:ascii="仿宋_GB2312" w:eastAsia="仿宋_GB2312" w:hAnsiTheme="minorEastAsia" w:cs="仿宋" w:hint="eastAsia"/>
          <w:spacing w:val="-1"/>
          <w:sz w:val="32"/>
          <w:szCs w:val="32"/>
          <w:lang w:val="zh-TW" w:eastAsia="zh-TW"/>
        </w:rPr>
        <w:t xml:space="preserve">  </w:t>
      </w:r>
      <w:r w:rsidR="006E3491" w:rsidRPr="00B97A3D">
        <w:rPr>
          <w:rFonts w:ascii="仿宋_GB2312" w:eastAsia="仿宋_GB2312" w:hAnsiTheme="minorEastAsia" w:cs="仿宋" w:hint="eastAsia"/>
          <w:spacing w:val="-1"/>
          <w:sz w:val="32"/>
          <w:szCs w:val="32"/>
          <w:lang w:val="zh-TW" w:eastAsia="zh-TW"/>
        </w:rPr>
        <w:t>金融企业折现率中的贝塔值计算应注意基准日和未来预测期资本结构的影响，银行、证券、信托和保险公司多采用无杠杆贝塔，多元金融可以使用有杠杆贝塔值。</w:t>
      </w:r>
    </w:p>
    <w:p w:rsidR="004F1F59" w:rsidRPr="00B97A3D" w:rsidRDefault="006F67BB"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roofErr w:type="gramStart"/>
      <w:r w:rsidRPr="00B97A3D">
        <w:rPr>
          <w:rFonts w:ascii="仿宋_GB2312" w:eastAsia="仿宋_GB2312" w:hAnsiTheme="minorEastAsia" w:cs="仿宋" w:hint="eastAsia"/>
          <w:spacing w:val="-1"/>
          <w:sz w:val="32"/>
          <w:szCs w:val="32"/>
          <w:lang w:val="zh-TW" w:eastAsia="zh-TW"/>
        </w:rPr>
        <w:t>贝塔值采用</w:t>
      </w:r>
      <w:proofErr w:type="gramEnd"/>
      <w:r w:rsidRPr="00B97A3D">
        <w:rPr>
          <w:rFonts w:ascii="仿宋_GB2312" w:eastAsia="仿宋_GB2312" w:hAnsiTheme="minorEastAsia" w:cs="仿宋" w:hint="eastAsia"/>
          <w:spacing w:val="-1"/>
          <w:sz w:val="32"/>
          <w:szCs w:val="32"/>
          <w:lang w:val="zh-TW" w:eastAsia="zh-TW"/>
        </w:rPr>
        <w:t>回归法计算，可以上证指数代表整个市场，用以计算个别股票的市场风险程度。</w:t>
      </w:r>
    </w:p>
    <w:p w:rsidR="00917F22" w:rsidRPr="0095199E" w:rsidRDefault="00917F22" w:rsidP="0095199E">
      <w:pPr>
        <w:adjustRightInd w:val="0"/>
        <w:snapToGrid w:val="0"/>
        <w:spacing w:line="360" w:lineRule="auto"/>
        <w:ind w:firstLineChars="200" w:firstLine="640"/>
        <w:rPr>
          <w:rFonts w:ascii="仿宋_GB2312" w:eastAsia="仿宋_GB2312" w:hAnsiTheme="minorEastAsia" w:cs="仿宋"/>
          <w:b/>
          <w:spacing w:val="-1"/>
          <w:sz w:val="32"/>
          <w:szCs w:val="32"/>
          <w:lang w:val="zh-TW" w:eastAsia="zh-TW"/>
        </w:rPr>
      </w:pPr>
    </w:p>
    <w:p w:rsidR="00591E82" w:rsidRPr="0095199E" w:rsidRDefault="006E3491" w:rsidP="0095199E">
      <w:pPr>
        <w:adjustRightInd w:val="0"/>
        <w:snapToGrid w:val="0"/>
        <w:spacing w:line="360" w:lineRule="auto"/>
        <w:ind w:firstLineChars="200" w:firstLine="640"/>
        <w:rPr>
          <w:rFonts w:ascii="仿宋_GB2312" w:eastAsia="仿宋_GB2312" w:hAnsiTheme="minorEastAsia" w:cs="仿宋"/>
          <w:b/>
          <w:spacing w:val="-1"/>
          <w:sz w:val="32"/>
          <w:szCs w:val="32"/>
          <w:lang w:val="zh-TW" w:eastAsia="zh-TW"/>
        </w:rPr>
      </w:pPr>
      <w:r w:rsidRPr="0095199E">
        <w:rPr>
          <w:rFonts w:ascii="仿宋_GB2312" w:eastAsia="仿宋_GB2312" w:hAnsiTheme="minorEastAsia" w:cs="仿宋" w:hint="eastAsia"/>
          <w:b/>
          <w:spacing w:val="-1"/>
          <w:sz w:val="32"/>
          <w:szCs w:val="32"/>
          <w:lang w:val="zh-TW" w:eastAsia="zh-TW"/>
        </w:rPr>
        <w:t>五、</w:t>
      </w:r>
      <w:r w:rsidR="00591E82" w:rsidRPr="0095199E">
        <w:rPr>
          <w:rFonts w:ascii="仿宋_GB2312" w:eastAsia="仿宋_GB2312" w:hAnsiTheme="minorEastAsia" w:cs="仿宋" w:hint="eastAsia"/>
          <w:b/>
          <w:spacing w:val="-1"/>
          <w:sz w:val="32"/>
          <w:szCs w:val="32"/>
          <w:lang w:val="zh-TW" w:eastAsia="zh-TW"/>
        </w:rPr>
        <w:t>评估结论</w:t>
      </w:r>
    </w:p>
    <w:p w:rsidR="00591E82" w:rsidRPr="00B97A3D" w:rsidRDefault="00591E82"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第二十五条</w:t>
      </w:r>
      <w:r w:rsidR="00853222">
        <w:rPr>
          <w:rFonts w:ascii="仿宋_GB2312" w:eastAsia="仿宋_GB2312" w:hAnsiTheme="minorEastAsia" w:cs="仿宋" w:hint="eastAsia"/>
          <w:spacing w:val="-1"/>
          <w:sz w:val="32"/>
          <w:szCs w:val="32"/>
          <w:lang w:val="zh-TW" w:eastAsia="zh-TW"/>
        </w:rPr>
        <w:t xml:space="preserve">  </w:t>
      </w:r>
      <w:r w:rsidR="00CA1DEB" w:rsidRPr="00B97A3D">
        <w:rPr>
          <w:rFonts w:ascii="仿宋_GB2312" w:eastAsia="仿宋_GB2312" w:hAnsiTheme="minorEastAsia" w:cs="仿宋" w:hint="eastAsia"/>
          <w:spacing w:val="-1"/>
          <w:sz w:val="32"/>
          <w:szCs w:val="32"/>
          <w:lang w:val="zh-TW" w:eastAsia="zh-TW"/>
        </w:rPr>
        <w:t>金融企业的收益法评估结</w:t>
      </w:r>
      <w:r w:rsidR="00FD0CD4">
        <w:rPr>
          <w:rFonts w:ascii="仿宋_GB2312" w:eastAsia="仿宋_GB2312" w:hAnsiTheme="minorEastAsia" w:cs="仿宋" w:hint="eastAsia"/>
          <w:spacing w:val="-1"/>
          <w:sz w:val="32"/>
          <w:szCs w:val="32"/>
          <w:lang w:val="zh-TW" w:eastAsia="zh-TW"/>
        </w:rPr>
        <w:t>论</w:t>
      </w:r>
      <w:r w:rsidR="00CA1DEB" w:rsidRPr="00B97A3D">
        <w:rPr>
          <w:rFonts w:ascii="仿宋_GB2312" w:eastAsia="仿宋_GB2312" w:hAnsiTheme="minorEastAsia" w:cs="仿宋" w:hint="eastAsia"/>
          <w:spacing w:val="-1"/>
          <w:sz w:val="32"/>
          <w:szCs w:val="32"/>
          <w:lang w:val="zh-TW" w:eastAsia="zh-TW"/>
        </w:rPr>
        <w:t>可以采取区间值形式。</w:t>
      </w:r>
    </w:p>
    <w:p w:rsidR="00475EBA" w:rsidRPr="00B97A3D" w:rsidRDefault="00475EBA"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
    <w:p w:rsidR="0024679C" w:rsidRPr="0095199E" w:rsidRDefault="00CA1DEB" w:rsidP="0095199E">
      <w:pPr>
        <w:adjustRightInd w:val="0"/>
        <w:snapToGrid w:val="0"/>
        <w:spacing w:line="360" w:lineRule="auto"/>
        <w:ind w:firstLineChars="200" w:firstLine="640"/>
        <w:rPr>
          <w:rFonts w:ascii="仿宋_GB2312" w:eastAsia="仿宋_GB2312" w:hAnsiTheme="minorEastAsia" w:cs="仿宋"/>
          <w:b/>
          <w:spacing w:val="-1"/>
          <w:sz w:val="32"/>
          <w:szCs w:val="32"/>
          <w:lang w:val="zh-TW" w:eastAsia="zh-TW"/>
        </w:rPr>
      </w:pPr>
      <w:r w:rsidRPr="0095199E">
        <w:rPr>
          <w:rFonts w:ascii="仿宋_GB2312" w:eastAsia="仿宋_GB2312" w:hAnsiTheme="minorEastAsia" w:cs="仿宋" w:hint="eastAsia"/>
          <w:b/>
          <w:spacing w:val="-1"/>
          <w:sz w:val="32"/>
          <w:szCs w:val="32"/>
          <w:lang w:val="zh-TW" w:eastAsia="zh-TW"/>
        </w:rPr>
        <w:t>六、</w:t>
      </w:r>
      <w:r w:rsidR="006E3491" w:rsidRPr="0095199E">
        <w:rPr>
          <w:rFonts w:ascii="仿宋_GB2312" w:eastAsia="仿宋_GB2312" w:hAnsiTheme="minorEastAsia" w:cs="仿宋" w:hint="eastAsia"/>
          <w:b/>
          <w:spacing w:val="-1"/>
          <w:sz w:val="32"/>
          <w:szCs w:val="32"/>
          <w:lang w:val="zh-TW" w:eastAsia="zh-TW"/>
        </w:rPr>
        <w:t>评估报告的注意事项</w:t>
      </w:r>
    </w:p>
    <w:p w:rsidR="0024679C" w:rsidRPr="006D7906" w:rsidRDefault="006E3491"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第二十</w:t>
      </w:r>
      <w:r w:rsidR="00CA1DEB" w:rsidRPr="00B97A3D">
        <w:rPr>
          <w:rFonts w:ascii="仿宋_GB2312" w:eastAsia="仿宋_GB2312" w:hAnsiTheme="minorEastAsia" w:cs="仿宋" w:hint="eastAsia"/>
          <w:spacing w:val="-1"/>
          <w:sz w:val="32"/>
          <w:szCs w:val="32"/>
          <w:lang w:val="zh-TW" w:eastAsia="zh-TW"/>
        </w:rPr>
        <w:t>六</w:t>
      </w:r>
      <w:r w:rsidRPr="00B97A3D">
        <w:rPr>
          <w:rFonts w:ascii="仿宋_GB2312" w:eastAsia="仿宋_GB2312" w:hAnsiTheme="minorEastAsia" w:cs="仿宋" w:hint="eastAsia"/>
          <w:spacing w:val="-1"/>
          <w:sz w:val="32"/>
          <w:szCs w:val="32"/>
          <w:lang w:val="zh-TW" w:eastAsia="zh-TW"/>
        </w:rPr>
        <w:t>条</w:t>
      </w:r>
      <w:r w:rsidR="00853222" w:rsidRPr="006D7906">
        <w:rPr>
          <w:rFonts w:ascii="仿宋_GB2312" w:eastAsia="仿宋_GB2312" w:hAnsiTheme="minorEastAsia" w:cs="仿宋" w:hint="eastAsia"/>
          <w:spacing w:val="-1"/>
          <w:sz w:val="32"/>
          <w:szCs w:val="32"/>
          <w:lang w:val="zh-TW" w:eastAsia="zh-TW"/>
        </w:rPr>
        <w:t xml:space="preserve"> </w:t>
      </w:r>
      <w:r w:rsidR="00CA1DEB" w:rsidRPr="006D7906">
        <w:rPr>
          <w:rFonts w:ascii="仿宋_GB2312" w:eastAsia="仿宋_GB2312" w:hAnsiTheme="minorEastAsia" w:cs="仿宋" w:hint="eastAsia"/>
          <w:spacing w:val="-1"/>
          <w:sz w:val="32"/>
          <w:szCs w:val="32"/>
          <w:lang w:val="zh-TW" w:eastAsia="zh-TW"/>
        </w:rPr>
        <w:t xml:space="preserve"> </w:t>
      </w:r>
      <w:r w:rsidR="00475EBA" w:rsidRPr="006D7906">
        <w:rPr>
          <w:rFonts w:ascii="仿宋_GB2312" w:eastAsia="仿宋_GB2312" w:hAnsiTheme="minorEastAsia" w:cs="仿宋" w:hint="eastAsia"/>
          <w:spacing w:val="-1"/>
          <w:sz w:val="32"/>
          <w:szCs w:val="32"/>
          <w:lang w:val="zh-TW" w:eastAsia="zh-TW"/>
        </w:rPr>
        <w:t>在</w:t>
      </w:r>
      <w:r w:rsidRPr="00B97A3D">
        <w:rPr>
          <w:rFonts w:ascii="仿宋_GB2312" w:eastAsia="仿宋_GB2312" w:hAnsiTheme="minorEastAsia" w:cs="仿宋" w:hint="eastAsia"/>
          <w:spacing w:val="-1"/>
          <w:sz w:val="32"/>
          <w:szCs w:val="32"/>
          <w:lang w:val="zh-TW" w:eastAsia="zh-TW"/>
        </w:rPr>
        <w:t>金融收益法评估报告</w:t>
      </w:r>
      <w:r w:rsidR="00475EBA" w:rsidRPr="00B97A3D">
        <w:rPr>
          <w:rFonts w:ascii="仿宋_GB2312" w:eastAsia="仿宋_GB2312" w:hAnsiTheme="minorEastAsia" w:cs="仿宋" w:hint="eastAsia"/>
          <w:spacing w:val="-1"/>
          <w:sz w:val="32"/>
          <w:szCs w:val="32"/>
          <w:lang w:val="zh-TW" w:eastAsia="zh-TW"/>
        </w:rPr>
        <w:t>中应</w:t>
      </w:r>
      <w:r w:rsidRPr="00B97A3D">
        <w:rPr>
          <w:rFonts w:ascii="仿宋_GB2312" w:eastAsia="仿宋_GB2312" w:hAnsiTheme="minorEastAsia" w:cs="仿宋" w:hint="eastAsia"/>
          <w:spacing w:val="-1"/>
          <w:sz w:val="32"/>
          <w:szCs w:val="32"/>
          <w:lang w:val="zh-TW" w:eastAsia="zh-TW"/>
        </w:rPr>
        <w:t>披露</w:t>
      </w:r>
      <w:r w:rsidR="00475EBA" w:rsidRPr="00B97A3D">
        <w:rPr>
          <w:rFonts w:ascii="仿宋_GB2312" w:eastAsia="仿宋_GB2312" w:hAnsiTheme="minorEastAsia" w:cs="仿宋" w:hint="eastAsia"/>
          <w:spacing w:val="-1"/>
          <w:sz w:val="32"/>
          <w:szCs w:val="32"/>
          <w:lang w:val="zh-TW" w:eastAsia="zh-TW"/>
        </w:rPr>
        <w:t>评估假设和预测基准</w:t>
      </w:r>
      <w:r w:rsidR="003C6589" w:rsidRPr="00B97A3D">
        <w:rPr>
          <w:rFonts w:ascii="仿宋_GB2312" w:eastAsia="仿宋_GB2312" w:hAnsiTheme="minorEastAsia" w:cs="仿宋" w:hint="eastAsia"/>
          <w:spacing w:val="-1"/>
          <w:sz w:val="32"/>
          <w:szCs w:val="32"/>
          <w:lang w:val="zh-TW" w:eastAsia="zh-TW"/>
        </w:rPr>
        <w:t>，如：银行的不良率，资本充足率，存贷比等指标；保险公司的费用率，投资收益品种和投资收益率等指标。</w:t>
      </w:r>
    </w:p>
    <w:p w:rsidR="0024679C" w:rsidRPr="006D7906" w:rsidRDefault="003C6589"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 xml:space="preserve">第二十七条  </w:t>
      </w:r>
      <w:r w:rsidR="006E3491" w:rsidRPr="00B97A3D">
        <w:rPr>
          <w:rFonts w:ascii="仿宋_GB2312" w:eastAsia="仿宋_GB2312" w:hAnsiTheme="minorEastAsia" w:cs="仿宋" w:hint="eastAsia"/>
          <w:spacing w:val="-1"/>
          <w:sz w:val="32"/>
          <w:szCs w:val="32"/>
          <w:lang w:val="zh-TW" w:eastAsia="zh-TW"/>
        </w:rPr>
        <w:t>评估结</w:t>
      </w:r>
      <w:r w:rsidR="00FD0CD4">
        <w:rPr>
          <w:rFonts w:ascii="仿宋_GB2312" w:eastAsia="仿宋_GB2312" w:hAnsiTheme="minorEastAsia" w:cs="仿宋" w:hint="eastAsia"/>
          <w:spacing w:val="-1"/>
          <w:sz w:val="32"/>
          <w:szCs w:val="32"/>
          <w:lang w:val="zh-TW" w:eastAsia="zh-TW"/>
        </w:rPr>
        <w:t>论</w:t>
      </w:r>
      <w:r w:rsidR="006E3491" w:rsidRPr="00B97A3D">
        <w:rPr>
          <w:rFonts w:ascii="仿宋_GB2312" w:eastAsia="仿宋_GB2312" w:hAnsiTheme="minorEastAsia" w:cs="仿宋" w:hint="eastAsia"/>
          <w:spacing w:val="-1"/>
          <w:sz w:val="32"/>
          <w:szCs w:val="32"/>
          <w:lang w:val="zh-TW" w:eastAsia="zh-TW"/>
        </w:rPr>
        <w:t>是否考虑了具有控制权溢价或者缺乏控制权折价，或流动性对评估对象价值影响的，应当披露溢价或折价数值的测算过程及确定依据，并对相关差异进</w:t>
      </w:r>
      <w:r w:rsidR="006E3491" w:rsidRPr="00B97A3D">
        <w:rPr>
          <w:rFonts w:ascii="仿宋_GB2312" w:eastAsia="仿宋_GB2312" w:hAnsiTheme="minorEastAsia" w:cs="仿宋" w:hint="eastAsia"/>
          <w:spacing w:val="-1"/>
          <w:sz w:val="32"/>
          <w:szCs w:val="32"/>
          <w:lang w:val="zh-TW" w:eastAsia="zh-TW"/>
        </w:rPr>
        <w:lastRenderedPageBreak/>
        <w:t>行分析说明；</w:t>
      </w:r>
    </w:p>
    <w:p w:rsidR="0024679C" w:rsidRPr="006D7906" w:rsidRDefault="003C6589" w:rsidP="006D7906">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B97A3D">
        <w:rPr>
          <w:rFonts w:ascii="仿宋_GB2312" w:eastAsia="仿宋_GB2312" w:hAnsiTheme="minorEastAsia" w:cs="仿宋" w:hint="eastAsia"/>
          <w:spacing w:val="-1"/>
          <w:sz w:val="32"/>
          <w:szCs w:val="32"/>
          <w:lang w:val="zh-TW" w:eastAsia="zh-TW"/>
        </w:rPr>
        <w:t>第二十八条</w:t>
      </w:r>
      <w:r w:rsidR="00853222">
        <w:rPr>
          <w:rFonts w:ascii="仿宋_GB2312" w:eastAsia="仿宋_GB2312" w:hAnsiTheme="minorEastAsia" w:cs="仿宋" w:hint="eastAsia"/>
          <w:spacing w:val="-1"/>
          <w:sz w:val="32"/>
          <w:szCs w:val="32"/>
          <w:lang w:val="zh-TW" w:eastAsia="zh-TW"/>
        </w:rPr>
        <w:t xml:space="preserve"> </w:t>
      </w:r>
      <w:r w:rsidRPr="00B97A3D">
        <w:rPr>
          <w:rFonts w:ascii="仿宋_GB2312" w:eastAsia="仿宋_GB2312" w:hAnsiTheme="minorEastAsia" w:cs="仿宋" w:hint="eastAsia"/>
          <w:spacing w:val="-1"/>
          <w:sz w:val="32"/>
          <w:szCs w:val="32"/>
          <w:lang w:val="zh-TW" w:eastAsia="zh-TW"/>
        </w:rPr>
        <w:t xml:space="preserve"> 评估报告中应就</w:t>
      </w:r>
      <w:r w:rsidR="006E3491" w:rsidRPr="00B97A3D">
        <w:rPr>
          <w:rFonts w:ascii="仿宋_GB2312" w:eastAsia="仿宋_GB2312" w:hAnsiTheme="minorEastAsia" w:cs="仿宋" w:hint="eastAsia"/>
          <w:spacing w:val="-1"/>
          <w:sz w:val="32"/>
          <w:szCs w:val="32"/>
          <w:lang w:val="zh-TW" w:eastAsia="zh-TW"/>
        </w:rPr>
        <w:t>未来收益预测是否考虑了通货膨胀的影响应给</w:t>
      </w:r>
      <w:r w:rsidRPr="00B97A3D">
        <w:rPr>
          <w:rFonts w:ascii="仿宋_GB2312" w:eastAsia="仿宋_GB2312" w:hAnsiTheme="minorEastAsia" w:cs="仿宋" w:hint="eastAsia"/>
          <w:spacing w:val="-1"/>
          <w:sz w:val="32"/>
          <w:szCs w:val="32"/>
          <w:lang w:val="zh-TW" w:eastAsia="zh-TW"/>
        </w:rPr>
        <w:t>予</w:t>
      </w:r>
      <w:r w:rsidR="006E3491" w:rsidRPr="00B97A3D">
        <w:rPr>
          <w:rFonts w:ascii="仿宋_GB2312" w:eastAsia="仿宋_GB2312" w:hAnsiTheme="minorEastAsia" w:cs="仿宋" w:hint="eastAsia"/>
          <w:spacing w:val="-1"/>
          <w:sz w:val="32"/>
          <w:szCs w:val="32"/>
          <w:lang w:val="zh-TW" w:eastAsia="zh-TW"/>
        </w:rPr>
        <w:t>适当说明。</w:t>
      </w:r>
    </w:p>
    <w:p w:rsidR="0024679C" w:rsidRDefault="0024679C" w:rsidP="00B97A3D">
      <w:pPr>
        <w:adjustRightInd w:val="0"/>
        <w:snapToGrid w:val="0"/>
        <w:spacing w:line="400" w:lineRule="exact"/>
        <w:ind w:firstLineChars="200" w:firstLine="638"/>
        <w:rPr>
          <w:rFonts w:ascii="仿宋_GB2312" w:eastAsia="仿宋_GB2312" w:hAnsiTheme="minorEastAsia" w:cs="仿宋"/>
          <w:spacing w:val="-1"/>
          <w:sz w:val="32"/>
          <w:szCs w:val="32"/>
          <w:lang w:val="zh-TW" w:eastAsia="zh-CN"/>
        </w:rPr>
      </w:pPr>
    </w:p>
    <w:p w:rsidR="006829E1" w:rsidRDefault="006829E1">
      <w:pPr>
        <w:widowControl/>
        <w:spacing w:line="240" w:lineRule="auto"/>
        <w:jc w:val="left"/>
        <w:rPr>
          <w:rFonts w:ascii="仿宋_GB2312" w:eastAsia="仿宋_GB2312" w:hAnsiTheme="minorEastAsia" w:cs="仿宋"/>
          <w:spacing w:val="-1"/>
          <w:sz w:val="32"/>
          <w:szCs w:val="32"/>
          <w:lang w:val="zh-TW" w:eastAsia="zh-TW"/>
        </w:rPr>
      </w:pPr>
      <w:r>
        <w:rPr>
          <w:rFonts w:ascii="仿宋_GB2312" w:eastAsia="仿宋_GB2312" w:hAnsiTheme="minorEastAsia" w:cs="仿宋"/>
          <w:spacing w:val="-1"/>
          <w:sz w:val="32"/>
          <w:szCs w:val="32"/>
          <w:lang w:val="zh-TW" w:eastAsia="zh-TW"/>
        </w:rPr>
        <w:br w:type="page"/>
      </w:r>
    </w:p>
    <w:p w:rsidR="006829E1" w:rsidRPr="00EA719C" w:rsidRDefault="006829E1" w:rsidP="006829E1">
      <w:pPr>
        <w:pStyle w:val="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ascii="华文中宋" w:eastAsia="华文中宋" w:hAnsi="华文中宋" w:cs="宋体" w:hint="default"/>
          <w:bCs/>
          <w:sz w:val="44"/>
          <w:szCs w:val="44"/>
          <w:lang w:val="zh-TW" w:eastAsia="zh-TW"/>
        </w:rPr>
      </w:pPr>
      <w:r w:rsidRPr="00EA719C">
        <w:rPr>
          <w:rFonts w:ascii="华文中宋" w:eastAsia="华文中宋" w:hAnsi="华文中宋" w:cs="宋体"/>
          <w:bCs/>
          <w:sz w:val="44"/>
          <w:szCs w:val="44"/>
          <w:lang w:val="zh-TW" w:eastAsia="zh-TW"/>
        </w:rPr>
        <w:lastRenderedPageBreak/>
        <w:t>《资产评估操作专家提示</w:t>
      </w:r>
      <w:r w:rsidRPr="00EA719C">
        <w:rPr>
          <w:rFonts w:ascii="华文中宋" w:eastAsia="华文中宋" w:hAnsi="华文中宋" w:cs="宋体"/>
          <w:bCs/>
          <w:sz w:val="44"/>
          <w:szCs w:val="44"/>
        </w:rPr>
        <w:t>—</w:t>
      </w:r>
      <w:r w:rsidRPr="00EA719C">
        <w:rPr>
          <w:rFonts w:ascii="华文中宋" w:eastAsia="华文中宋" w:hAnsi="华文中宋" w:cs="宋体"/>
          <w:bCs/>
          <w:sz w:val="44"/>
          <w:szCs w:val="44"/>
          <w:lang w:val="zh-TW" w:eastAsia="zh-TW"/>
        </w:rPr>
        <w:t>金融企业收益法评估模型与参数确定</w:t>
      </w:r>
      <w:r w:rsidRPr="00EA719C">
        <w:rPr>
          <w:rFonts w:ascii="华文中宋" w:eastAsia="华文中宋" w:hAnsi="华文中宋" w:cs="宋体"/>
          <w:bCs/>
          <w:sz w:val="44"/>
          <w:szCs w:val="44"/>
          <w:lang w:val="zh-TW"/>
        </w:rPr>
        <w:t>（征求意见稿）</w:t>
      </w:r>
      <w:r w:rsidR="006E23DC">
        <w:rPr>
          <w:rFonts w:ascii="华文中宋" w:eastAsia="华文中宋" w:hAnsi="华文中宋" w:cs="宋体"/>
          <w:bCs/>
          <w:sz w:val="44"/>
          <w:szCs w:val="44"/>
          <w:lang w:val="zh-TW" w:eastAsia="zh-TW"/>
        </w:rPr>
        <w:t>》</w:t>
      </w:r>
      <w:r w:rsidRPr="00EA719C">
        <w:rPr>
          <w:rFonts w:ascii="华文中宋" w:eastAsia="华文中宋" w:hAnsi="华文中宋" w:cs="宋体"/>
          <w:bCs/>
          <w:sz w:val="44"/>
          <w:szCs w:val="44"/>
          <w:lang w:val="zh-TW" w:eastAsia="zh-TW"/>
        </w:rPr>
        <w:t>起草说明</w:t>
      </w:r>
      <w:bookmarkStart w:id="0" w:name="_GoBack"/>
      <w:bookmarkEnd w:id="0"/>
    </w:p>
    <w:p w:rsidR="006829E1" w:rsidRPr="00EA719C" w:rsidRDefault="006829E1" w:rsidP="006829E1">
      <w:pPr>
        <w:pStyle w:val="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ascii="仿宋_GB2312" w:eastAsia="仿宋_GB2312" w:hAnsi="宋体" w:cs="宋体" w:hint="default"/>
          <w:bCs/>
          <w:sz w:val="32"/>
          <w:szCs w:val="32"/>
          <w:lang w:val="zh-TW"/>
        </w:rPr>
      </w:pPr>
    </w:p>
    <w:p w:rsidR="006829E1" w:rsidRPr="00EA719C" w:rsidRDefault="006829E1" w:rsidP="006829E1">
      <w:pPr>
        <w:pStyle w:val="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left"/>
        <w:rPr>
          <w:rFonts w:ascii="仿宋_GB2312" w:eastAsia="仿宋_GB2312" w:hAnsi="宋体" w:cs="宋体" w:hint="default"/>
          <w:bCs/>
          <w:sz w:val="32"/>
          <w:szCs w:val="32"/>
          <w:lang w:val="zh-TW"/>
        </w:rPr>
      </w:pPr>
    </w:p>
    <w:p w:rsidR="006829E1" w:rsidRPr="0095199E" w:rsidRDefault="002F0C28"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为指导金融企业收益法评估模型和参数确定</w:t>
      </w:r>
      <w:r w:rsidR="006829E1" w:rsidRPr="0095199E">
        <w:rPr>
          <w:rFonts w:ascii="仿宋_GB2312" w:eastAsia="仿宋_GB2312" w:hAnsiTheme="minorEastAsia" w:cs="仿宋"/>
          <w:spacing w:val="-1"/>
          <w:sz w:val="32"/>
          <w:szCs w:val="32"/>
          <w:lang w:val="zh-TW" w:eastAsia="zh-TW"/>
        </w:rPr>
        <w:t>，在现有准则体系下，满足金融企业产权交易等经济行为，中国资产评估协会（以下简称</w:t>
      </w:r>
      <w:r w:rsidR="006829E1" w:rsidRPr="0095199E">
        <w:rPr>
          <w:rFonts w:ascii="仿宋_GB2312" w:eastAsia="仿宋_GB2312" w:hAnsiTheme="minorEastAsia" w:cs="仿宋"/>
          <w:spacing w:val="-1"/>
          <w:sz w:val="32"/>
          <w:szCs w:val="32"/>
          <w:lang w:val="zh-TW" w:eastAsia="zh-TW"/>
        </w:rPr>
        <w:t>“</w:t>
      </w:r>
      <w:r w:rsidR="006829E1" w:rsidRPr="0095199E">
        <w:rPr>
          <w:rFonts w:ascii="仿宋_GB2312" w:eastAsia="仿宋_GB2312" w:hAnsiTheme="minorEastAsia" w:cs="仿宋"/>
          <w:spacing w:val="-1"/>
          <w:sz w:val="32"/>
          <w:szCs w:val="32"/>
          <w:lang w:val="zh-TW" w:eastAsia="zh-TW"/>
        </w:rPr>
        <w:t>中评协</w:t>
      </w:r>
      <w:r w:rsidR="006829E1" w:rsidRPr="0095199E">
        <w:rPr>
          <w:rFonts w:ascii="仿宋_GB2312" w:eastAsia="仿宋_GB2312" w:hAnsiTheme="minorEastAsia" w:cs="仿宋"/>
          <w:spacing w:val="-1"/>
          <w:sz w:val="32"/>
          <w:szCs w:val="32"/>
          <w:lang w:val="zh-TW" w:eastAsia="zh-TW"/>
        </w:rPr>
        <w:t>”</w:t>
      </w:r>
      <w:r w:rsidR="006829E1" w:rsidRPr="0095199E">
        <w:rPr>
          <w:rFonts w:ascii="仿宋_GB2312" w:eastAsia="仿宋_GB2312" w:hAnsiTheme="minorEastAsia" w:cs="仿宋"/>
          <w:spacing w:val="-1"/>
          <w:sz w:val="32"/>
          <w:szCs w:val="32"/>
          <w:lang w:val="zh-TW" w:eastAsia="zh-TW"/>
        </w:rPr>
        <w:t>）组织起草了《资产评估操作专家提示</w:t>
      </w:r>
      <w:r w:rsidR="006829E1" w:rsidRPr="0095199E">
        <w:rPr>
          <w:rFonts w:ascii="仿宋_GB2312" w:eastAsia="仿宋_GB2312" w:hAnsiTheme="minorEastAsia" w:cs="仿宋"/>
          <w:spacing w:val="-1"/>
          <w:sz w:val="32"/>
          <w:szCs w:val="32"/>
          <w:lang w:val="zh-TW" w:eastAsia="zh-TW"/>
        </w:rPr>
        <w:t>——</w:t>
      </w:r>
      <w:r w:rsidR="006829E1" w:rsidRPr="0095199E">
        <w:rPr>
          <w:rFonts w:ascii="仿宋_GB2312" w:eastAsia="仿宋_GB2312" w:hAnsiTheme="minorEastAsia" w:cs="仿宋"/>
          <w:spacing w:val="-1"/>
          <w:sz w:val="32"/>
          <w:szCs w:val="32"/>
          <w:lang w:val="zh-TW" w:eastAsia="zh-TW"/>
        </w:rPr>
        <w:t>金融企业收益法评估模型与参数确定（征求意见稿）》。为便于全面理解本专家提示的内容和相关背景，现将有关起草情况说明如下。</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一、发布《资产评估操作专家提示</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金融企业收益法评估模型与参数确定（征求意见稿）》的必要性</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收益法在金融企业产权变动等经济行为价值评估中成为主流的评估方法，2008年财政部颁布《金融企业国有资产评估监督管理暂行办法》（财政部令第47号）(以下简称</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47号令</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列示了应当进行资产评估的行为，简单来看，金融企业的经济行为可以分为：整体改制、产权变动（包括增资扩股和引进战略投资者）和上市。在实务中，一般来看，整体改制以核实资本金为目的，因此资产基础法为首选方法；在产权变动和上市等行为中，以判断企业价值为核心，收益法成为主流的评估方法。同时在上市公司重大资</w:t>
      </w:r>
      <w:r w:rsidRPr="0095199E">
        <w:rPr>
          <w:rFonts w:ascii="仿宋_GB2312" w:eastAsia="仿宋_GB2312" w:hAnsiTheme="minorEastAsia" w:cs="仿宋"/>
          <w:spacing w:val="-1"/>
          <w:sz w:val="32"/>
          <w:szCs w:val="32"/>
          <w:lang w:val="zh-TW" w:eastAsia="zh-TW"/>
        </w:rPr>
        <w:lastRenderedPageBreak/>
        <w:t>产重组涉及的金融企业评估中，收益法评估占比在85%以上。</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金融企业与实体企业在运营模式、风险控制和资本约束方面均有着巨大差异，这导致企业价值评估中从模型到参数均有着较大差别，而目前金融企业收益法评估已经成为行业主流的评估方法，收益法评估结果是金融企业股权转让、产权变动等经济行为的重要价值参考依据。而实务中收益法的模型和参数也呈现出</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百家争鸣</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的现象，缺少必要的规范和指导。发布金融企业收益法评估模型与参数确定专家提示的必要性主要体现在以下三个方面：</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（一）金融企业与其他企业相比具有显著的特征</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金融企业是指执行业务需要取得金融监管部门授予的金融业务（银行业务、证券业务、保险业务）许可证的企业。</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金融企业与实体企业相比，主要有三个方面的区别：</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1．监管要求的特殊性：资本约束</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全世界的金融企业都会受到严格的监管，只是监管程度不同。一般来看，主要有三种监管模式：</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（1）银行和保险公司必须维持法定的资本比率</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基于净资产的账面价值和经营资产计算。这样的目的是确保企业能将业务集中在自己能够管控的范围之内，风险可控。</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（2）资金投向受到限制</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美国和我国的法律均规定</w:t>
      </w:r>
      <w:r w:rsidRPr="0095199E">
        <w:rPr>
          <w:rFonts w:ascii="仿宋_GB2312" w:eastAsia="仿宋_GB2312" w:hAnsiTheme="minorEastAsia" w:cs="仿宋"/>
          <w:spacing w:val="-1"/>
          <w:sz w:val="32"/>
          <w:szCs w:val="32"/>
          <w:lang w:val="zh-TW" w:eastAsia="zh-TW"/>
        </w:rPr>
        <w:lastRenderedPageBreak/>
        <w:t>银行不得从事投资银行业务。</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（3）企业的重组行为受到行业的严格监管</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这是第二点的延续，重组行为的监管主要体现在现有金融企业的股东资格需要经过政府主管部门的审核，不符合规定，不能持有金融企业股权；两个金融企业之间的合并亦收到严格控制。</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2．会计核算的特殊性：各项准备金</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尽管都施行统一的会计准则，但是金融企业与其他企业依然存在差异，主要表现在：</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1）金融企业的资产中配置中数量较多的金融资产，如：金融工具、债券等金融产品，这些资产都需要以公允价值计量，相对于其他企业的资产，金融企业的资产交易较为频繁，有长期稳定的市场交易信息可循。因此这会使得按照资产负债表计算的各项财务比率与其他公司不具有可比性。</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2）短期的亏损与长期的赢利：金融企业是经营风险的企业，因此一般在会计核算中，每年都会计提风险准备金，以便在资产损失时，不会给企业带来大的震动，这样的做法处于会计谨慎性原则，但是这样的做法使得各年度的利润得以平滑。</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3．会计要素的特殊性：如何定位负债</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负债是企业融资的一种渠道，在金融企业负债的作用还</w:t>
      </w:r>
      <w:r w:rsidRPr="0095199E">
        <w:rPr>
          <w:rFonts w:ascii="仿宋_GB2312" w:eastAsia="仿宋_GB2312" w:hAnsiTheme="minorEastAsia" w:cs="仿宋"/>
          <w:spacing w:val="-1"/>
          <w:sz w:val="32"/>
          <w:szCs w:val="32"/>
          <w:lang w:val="zh-TW" w:eastAsia="zh-TW"/>
        </w:rPr>
        <w:lastRenderedPageBreak/>
        <w:t>不止如此：</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（1）负债是金融的原材料，不是企业的资本：在一般企业，没有负债经营，在财务上的影响就是没有财务杠杆，但是企业可以开工生产。在金融企业没有负债，企业就没法开工。如同</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等米下锅</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一样，负债是金融企业的米，在经营前务必取得</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米</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，才能经营。</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2）负债的内涵：在金融企业负债的内涵变得比较模糊。这里涉及到营业利润的核算问题，一般企业将负债的利息放在财务费用核算，不影响企业的营业利润。但是在金融企业，收入中要扣减负债的成本支出，如银行支付给客户的存款利息，构成银行成本的一部分，需要在营业利润中核算。</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（二）评估实务中评估金融企业收益法评估模型与参数确定路径各异</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尽管收益法为主流评估方法，但是在评估模型和参数确定中存在很大差异。从文献来看，以银行的收益法为例，ezaee（2001）提出了</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银行的价值等同于银行为了经济利益的净现值</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。同年，Benninga和Sarig（2001）也提出了采用股权自由现金流（Free Cash Flow to Equity；FCFE）评估商业银行价值的方法。他们注意到了银行与生产性企业的差异，考虑到银行的特殊性，提出在评估过程中要进行评</w:t>
      </w:r>
      <w:r w:rsidRPr="0095199E">
        <w:rPr>
          <w:rFonts w:ascii="仿宋_GB2312" w:eastAsia="仿宋_GB2312" w:hAnsiTheme="minorEastAsia" w:cs="仿宋"/>
          <w:spacing w:val="-1"/>
          <w:sz w:val="32"/>
          <w:szCs w:val="32"/>
          <w:lang w:val="zh-TW" w:eastAsia="zh-TW"/>
        </w:rPr>
        <w:lastRenderedPageBreak/>
        <w:t>估观念的转化，并且对资产负债表和利润表应进行适当调整。随着时间推移，评估思维进一步解放，评估技术进一步改进和成熟。</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Tim Koller，Marc Goedhart，David Wessels（2005）同时肯定了在商业银行价值评估中应使用权益现金流，而不是企业自由现金流（Free Cash Flow for the Firm，FCFF）。另外他们还提出了权益现金流的两种计算路径：</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（1）权益现金流=净回报-权益增加额+其他综合回报</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（2）权益现金流=支付给股东或者自股东处收到的现金进行加总，包括股息、股票回购和新股发行。</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Tim Koller，Marc Goedhart，David Wessels（2010）一起撰写了一本书Valuation: measuring and managing the value of companies。在书中他们对保险公司的评估也提出了建议：</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与银行一样，要了解保险公司的业务也有赖于风险的准确评估</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，另外保险公司的现金流需要延续很长时间。</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Aswath Damodaran（2010）提出应该随行就市地金融服务公司评估，</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金融服务公司的估值应该是基于股权的基础，而不是基于公司。焦点将会是各种红利贴现模型，以及如何使他们对银行和保险公司进行最佳的估值。</w:t>
      </w:r>
      <w:r w:rsidRPr="0095199E">
        <w:rPr>
          <w:rFonts w:ascii="仿宋_GB2312" w:eastAsia="仿宋_GB2312" w:hAnsiTheme="minorEastAsia" w:cs="仿宋"/>
          <w:spacing w:val="-1"/>
          <w:sz w:val="32"/>
          <w:szCs w:val="32"/>
          <w:lang w:val="zh-TW" w:eastAsia="zh-TW"/>
        </w:rPr>
        <w:t>”</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潘功胜（2011）分析了上市银行的现金流贴现模型，同</w:t>
      </w:r>
      <w:r w:rsidRPr="0095199E">
        <w:rPr>
          <w:rFonts w:ascii="仿宋_GB2312" w:eastAsia="仿宋_GB2312" w:hAnsiTheme="minorEastAsia" w:cs="仿宋"/>
          <w:spacing w:val="-1"/>
          <w:sz w:val="32"/>
          <w:szCs w:val="32"/>
          <w:lang w:val="zh-TW" w:eastAsia="zh-TW"/>
        </w:rPr>
        <w:lastRenderedPageBreak/>
        <w:t>时对不同现金流模型做了比较比较，提出了三阶段的股息现金流贴现模型。</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实务操作中，各家机构的评估模型各有不同，因此，有必要对此进行统一和规范，以确保评估方法作为价值发现的工具能够发挥其功能。</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（三）金融企业包括银行、保险公司、证券公司等不同细分行业，收益法评估模型和参数应有所不同</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从财政部颁布的《金融企业绩效评价办法》（财金[2011]50号）来看，对金融企业大致划分五类：A银行；B保险；C证券、期货和基金管理公司；D各类信用担保公司、新型农村金融机构、信托公司、金融租赁公司、财务公司以及金融监管部门所属的从事相关金融业务的企业；E金融控股集团公司、金融资产管理公司、金融投资管理公司等。</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金融企业是高度监管的企业，对上述五类企业监管模式和监管指标亦有所区别，因此，这些行业差异应该体现在评估模型和参数确定中。具体监管指标请参见《资产评估专家提示</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金融企业评估中应关注的监管指标》。</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目前从实践来看，对于银行和保险公司的收益法评估研究较多，案例较为丰富，而其他的金融企业相对较少，特别是金融控股公司。</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lastRenderedPageBreak/>
        <w:t>二、起草的指导思想</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（一）定位明确</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本专家提示用以在金融企业收益法中评估模型和参数的选取提供思路和操作模式。</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在本专家提示的制定过程中，在基本概念、基本术语上与基本准则保持一致，并注重与基本准则、已颁布的其他评估准则的相互衔接。</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（二）注重实务操作</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本专家提示以案例为主，并对金融企业进行了细化，分别给出银行、证券和保险公司等类型公司的业务模式、资产负债特点、收益法操作思路等。</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（三）注重与现有准则等匹配</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对已发布的准则中有规定的内容，本专家提示不再重复，本提示重点是对金融企业收益法评估模型和参数对确定给出具有操作性的思路，以指导和规范评估实践。</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（四）突出重点</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金融行业涉及的子行业比较多，本提示具体分析了银行、证券、寿险公司、信托公司和金融控股公司等类型，对于未能列举的行业，收益法评估模型和参数确定可以根据各自监管模型和业务特点，参考本专家提示的相关思路。</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三、起草过程</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lastRenderedPageBreak/>
        <w:t>2013年10月，中评协决定开展金融企业资产评估相关技术研究，成立了以金融评审专家为主的起草项目组。项目组首先进行了文献研究，探讨国内外收益法评估模型和参数确定的方式和思路，然后搜集了截至2014年上半年的部分金融企业收益法评估案例，集中分析了目前我国金融企业收益法评估中的具体问题，经过深入研究及2次集中讨论，在融合各专家意见的基础上，形成本专家提示征求意见稿。</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四、主要内容</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本专家提示征求意见稿分</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总则</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评估模型</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评估思路</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评估参数</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和</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评估报告注意事项</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等五章。</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总则</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主要介绍</w:t>
      </w:r>
      <w:proofErr w:type="gramStart"/>
      <w:r w:rsidRPr="0095199E">
        <w:rPr>
          <w:rFonts w:ascii="仿宋_GB2312" w:eastAsia="仿宋_GB2312" w:hAnsiTheme="minorEastAsia" w:cs="仿宋"/>
          <w:spacing w:val="-1"/>
          <w:sz w:val="32"/>
          <w:szCs w:val="32"/>
          <w:lang w:val="zh-TW" w:eastAsia="zh-TW"/>
        </w:rPr>
        <w:t>本专家</w:t>
      </w:r>
      <w:proofErr w:type="gramEnd"/>
      <w:r w:rsidRPr="0095199E">
        <w:rPr>
          <w:rFonts w:ascii="仿宋_GB2312" w:eastAsia="仿宋_GB2312" w:hAnsiTheme="minorEastAsia" w:cs="仿宋"/>
          <w:spacing w:val="-1"/>
          <w:sz w:val="32"/>
          <w:szCs w:val="32"/>
          <w:lang w:val="zh-TW" w:eastAsia="zh-TW"/>
        </w:rPr>
        <w:t>提示适用的业务领域和指导性质。</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评估模型</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主要介绍了金融企业收益法评估的股权现金流折现模型，同时也说明中有些企业中，如金融租赁公司，可以采用企业现金流量折现模型。</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评估思路</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主要以银行、证券、寿险公司和信托公司为代表，结合金融企业特点，说明收益法的操作思路和模式，对于收入、成本和费用的预测给出相应的预测思路。</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评估参数</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主要对评估模型中的增长率和折现率分析进行了说明。</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lastRenderedPageBreak/>
        <w:t>“</w:t>
      </w:r>
      <w:r w:rsidRPr="0095199E">
        <w:rPr>
          <w:rFonts w:ascii="仿宋_GB2312" w:eastAsia="仿宋_GB2312" w:hAnsiTheme="minorEastAsia" w:cs="仿宋"/>
          <w:spacing w:val="-1"/>
          <w:sz w:val="32"/>
          <w:szCs w:val="32"/>
          <w:lang w:val="zh-TW" w:eastAsia="zh-TW"/>
        </w:rPr>
        <w:t>评估报告注意事项</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主要说明了在收益法评估的报告中应注意的内容。</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五、重要事项说明</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（一）关于收益法评估模型</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评估仅仅是发现价值的工具，因此在采用收益法评估过程中，应注重对企业经营模式和业务模式及获利方式的分析，这些产生价值的核心要素决定了采用哪种模型。而不是从模型出发寻找企业价值。金融企业在一定程度上具有</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特许经营</w:t>
      </w:r>
      <w:r w:rsidRPr="0095199E">
        <w:rPr>
          <w:rFonts w:ascii="仿宋_GB2312" w:eastAsia="仿宋_GB2312" w:hAnsiTheme="minorEastAsia" w:cs="仿宋"/>
          <w:spacing w:val="-1"/>
          <w:sz w:val="32"/>
          <w:szCs w:val="32"/>
          <w:lang w:val="zh-TW" w:eastAsia="zh-TW"/>
        </w:rPr>
        <w:t>”</w:t>
      </w:r>
      <w:r w:rsidRPr="0095199E">
        <w:rPr>
          <w:rFonts w:ascii="仿宋_GB2312" w:eastAsia="仿宋_GB2312" w:hAnsiTheme="minorEastAsia" w:cs="仿宋"/>
          <w:spacing w:val="-1"/>
          <w:sz w:val="32"/>
          <w:szCs w:val="32"/>
          <w:lang w:val="zh-TW" w:eastAsia="zh-TW"/>
        </w:rPr>
        <w:t>的价值特点，随着我国金融企业的深化改革，企业的价值源泉也会随之变化，评估中应把握企业价值的核心要素，采用适当的模型量化价值，体现价值，不为模型所累。</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（二）关于收益法的评估参数</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r w:rsidRPr="0095199E">
        <w:rPr>
          <w:rFonts w:ascii="仿宋_GB2312" w:eastAsia="仿宋_GB2312" w:hAnsiTheme="minorEastAsia" w:cs="仿宋"/>
          <w:spacing w:val="-1"/>
          <w:sz w:val="32"/>
          <w:szCs w:val="32"/>
          <w:lang w:val="zh-TW" w:eastAsia="zh-TW"/>
        </w:rPr>
        <w:t>收益法评估中参数的确定与评估模型应一致，并结合企业经营情况来确定，特别是企业增长率。</w:t>
      </w:r>
    </w:p>
    <w:p w:rsidR="006829E1" w:rsidRPr="0095199E" w:rsidRDefault="006829E1" w:rsidP="0095199E">
      <w:pPr>
        <w:adjustRightInd w:val="0"/>
        <w:snapToGrid w:val="0"/>
        <w:spacing w:line="360" w:lineRule="auto"/>
        <w:ind w:firstLineChars="200" w:firstLine="638"/>
        <w:rPr>
          <w:rFonts w:ascii="仿宋_GB2312" w:eastAsia="仿宋_GB2312" w:hAnsiTheme="minorEastAsia" w:cs="仿宋"/>
          <w:spacing w:val="-1"/>
          <w:sz w:val="32"/>
          <w:szCs w:val="32"/>
          <w:lang w:val="zh-TW" w:eastAsia="zh-TW"/>
        </w:rPr>
      </w:pPr>
    </w:p>
    <w:p w:rsidR="006829E1" w:rsidRPr="006829E1" w:rsidRDefault="006829E1" w:rsidP="006829E1">
      <w:pPr>
        <w:adjustRightInd w:val="0"/>
        <w:snapToGrid w:val="0"/>
        <w:spacing w:line="400" w:lineRule="exact"/>
        <w:ind w:firstLineChars="200" w:firstLine="650"/>
        <w:rPr>
          <w:rFonts w:ascii="仿宋_GB2312" w:eastAsia="仿宋_GB2312" w:hAnsiTheme="minorEastAsia"/>
          <w:sz w:val="32"/>
          <w:szCs w:val="32"/>
          <w:lang w:eastAsia="zh-TW"/>
        </w:rPr>
      </w:pPr>
    </w:p>
    <w:sectPr w:rsidR="006829E1" w:rsidRPr="006829E1" w:rsidSect="00F73E60">
      <w:footerReference w:type="even" r:id="rId10"/>
      <w:footerReference w:type="default" r:id="rId11"/>
      <w:pgSz w:w="11900" w:h="16840"/>
      <w:pgMar w:top="1440" w:right="1797" w:bottom="1440" w:left="1797" w:header="851" w:footer="1134"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12" w:rsidRDefault="00865B12" w:rsidP="0024679C">
      <w:pPr>
        <w:spacing w:line="240" w:lineRule="auto"/>
      </w:pPr>
      <w:r>
        <w:separator/>
      </w:r>
    </w:p>
  </w:endnote>
  <w:endnote w:type="continuationSeparator" w:id="0">
    <w:p w:rsidR="00865B12" w:rsidRDefault="00865B12" w:rsidP="00246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30204"/>
    <w:charset w:val="00"/>
    <w:family w:val="swiss"/>
    <w:pitch w:val="variable"/>
    <w:sig w:usb0="00000007" w:usb1="00000000" w:usb2="00000000" w:usb3="00000000" w:csb0="00000093"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876827"/>
      <w:docPartObj>
        <w:docPartGallery w:val="Page Numbers (Bottom of Page)"/>
        <w:docPartUnique/>
      </w:docPartObj>
    </w:sdtPr>
    <w:sdtEndPr>
      <w:rPr>
        <w:rFonts w:ascii="仿宋_GB2312" w:eastAsia="仿宋_GB2312" w:hint="eastAsia"/>
        <w:sz w:val="28"/>
        <w:szCs w:val="28"/>
      </w:rPr>
    </w:sdtEndPr>
    <w:sdtContent>
      <w:p w:rsidR="00DD4795" w:rsidRPr="00DD4795" w:rsidRDefault="00DD4795">
        <w:pPr>
          <w:pStyle w:val="a6"/>
          <w:jc w:val="center"/>
          <w:rPr>
            <w:rFonts w:ascii="仿宋_GB2312" w:eastAsia="仿宋_GB2312"/>
            <w:sz w:val="28"/>
            <w:szCs w:val="28"/>
          </w:rPr>
        </w:pPr>
        <w:r w:rsidRPr="00DD4795">
          <w:rPr>
            <w:rFonts w:ascii="仿宋_GB2312" w:eastAsia="仿宋_GB2312" w:hint="eastAsia"/>
            <w:sz w:val="28"/>
            <w:szCs w:val="28"/>
          </w:rPr>
          <w:fldChar w:fldCharType="begin"/>
        </w:r>
        <w:r w:rsidRPr="00DD4795">
          <w:rPr>
            <w:rFonts w:ascii="仿宋_GB2312" w:eastAsia="仿宋_GB2312" w:hint="eastAsia"/>
            <w:sz w:val="28"/>
            <w:szCs w:val="28"/>
          </w:rPr>
          <w:instrText>PAGE   \* MERGEFORMAT</w:instrText>
        </w:r>
        <w:r w:rsidRPr="00DD4795">
          <w:rPr>
            <w:rFonts w:ascii="仿宋_GB2312" w:eastAsia="仿宋_GB2312" w:hint="eastAsia"/>
            <w:sz w:val="28"/>
            <w:szCs w:val="28"/>
          </w:rPr>
          <w:fldChar w:fldCharType="separate"/>
        </w:r>
        <w:r w:rsidR="0095199E" w:rsidRPr="0095199E">
          <w:rPr>
            <w:rFonts w:ascii="仿宋_GB2312" w:eastAsia="仿宋_GB2312"/>
            <w:noProof/>
            <w:sz w:val="28"/>
            <w:szCs w:val="28"/>
            <w:lang w:val="zh-CN"/>
          </w:rPr>
          <w:t>10</w:t>
        </w:r>
        <w:r w:rsidRPr="00DD4795">
          <w:rPr>
            <w:rFonts w:ascii="仿宋_GB2312" w:eastAsia="仿宋_GB2312" w:hint="eastAsia"/>
            <w:sz w:val="28"/>
            <w:szCs w:val="28"/>
          </w:rPr>
          <w:fldChar w:fldCharType="end"/>
        </w:r>
      </w:p>
    </w:sdtContent>
  </w:sdt>
  <w:p w:rsidR="0024679C" w:rsidRDefault="0024679C">
    <w:pPr>
      <w:pStyle w:val="a6"/>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75138"/>
      <w:docPartObj>
        <w:docPartGallery w:val="Page Numbers (Bottom of Page)"/>
        <w:docPartUnique/>
      </w:docPartObj>
    </w:sdtPr>
    <w:sdtEndPr>
      <w:rPr>
        <w:rFonts w:ascii="仿宋_GB2312" w:eastAsia="仿宋_GB2312" w:hint="eastAsia"/>
        <w:sz w:val="28"/>
        <w:szCs w:val="28"/>
      </w:rPr>
    </w:sdtEndPr>
    <w:sdtContent>
      <w:p w:rsidR="00DD4795" w:rsidRPr="00DD4795" w:rsidRDefault="00DD4795">
        <w:pPr>
          <w:pStyle w:val="a6"/>
          <w:jc w:val="center"/>
          <w:rPr>
            <w:rFonts w:ascii="仿宋_GB2312" w:eastAsia="仿宋_GB2312"/>
            <w:sz w:val="28"/>
            <w:szCs w:val="28"/>
          </w:rPr>
        </w:pPr>
        <w:r w:rsidRPr="00DD4795">
          <w:rPr>
            <w:rFonts w:ascii="仿宋_GB2312" w:eastAsia="仿宋_GB2312" w:hint="eastAsia"/>
            <w:sz w:val="28"/>
            <w:szCs w:val="28"/>
          </w:rPr>
          <w:fldChar w:fldCharType="begin"/>
        </w:r>
        <w:r w:rsidRPr="00DD4795">
          <w:rPr>
            <w:rFonts w:ascii="仿宋_GB2312" w:eastAsia="仿宋_GB2312" w:hint="eastAsia"/>
            <w:sz w:val="28"/>
            <w:szCs w:val="28"/>
          </w:rPr>
          <w:instrText>PAGE   \* MERGEFORMAT</w:instrText>
        </w:r>
        <w:r w:rsidRPr="00DD4795">
          <w:rPr>
            <w:rFonts w:ascii="仿宋_GB2312" w:eastAsia="仿宋_GB2312" w:hint="eastAsia"/>
            <w:sz w:val="28"/>
            <w:szCs w:val="28"/>
          </w:rPr>
          <w:fldChar w:fldCharType="separate"/>
        </w:r>
        <w:r w:rsidR="0095199E" w:rsidRPr="0095199E">
          <w:rPr>
            <w:rFonts w:ascii="仿宋_GB2312" w:eastAsia="仿宋_GB2312"/>
            <w:noProof/>
            <w:sz w:val="28"/>
            <w:szCs w:val="28"/>
            <w:lang w:val="zh-CN"/>
          </w:rPr>
          <w:t>9</w:t>
        </w:r>
        <w:r w:rsidRPr="00DD4795">
          <w:rPr>
            <w:rFonts w:ascii="仿宋_GB2312" w:eastAsia="仿宋_GB2312" w:hint="eastAsia"/>
            <w:sz w:val="28"/>
            <w:szCs w:val="28"/>
          </w:rPr>
          <w:fldChar w:fldCharType="end"/>
        </w:r>
      </w:p>
    </w:sdtContent>
  </w:sdt>
  <w:p w:rsidR="0024679C" w:rsidRDefault="0024679C">
    <w:pPr>
      <w:pStyle w:val="a6"/>
      <w:spacing w:line="20" w:lineRule="atLeast"/>
      <w:ind w:right="3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12" w:rsidRDefault="00865B12" w:rsidP="0024679C">
      <w:pPr>
        <w:spacing w:line="240" w:lineRule="auto"/>
      </w:pPr>
      <w:r>
        <w:separator/>
      </w:r>
    </w:p>
  </w:footnote>
  <w:footnote w:type="continuationSeparator" w:id="0">
    <w:p w:rsidR="00865B12" w:rsidRDefault="00865B12" w:rsidP="002467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30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9C"/>
    <w:rsid w:val="00055834"/>
    <w:rsid w:val="000B17C4"/>
    <w:rsid w:val="00135849"/>
    <w:rsid w:val="001D65FE"/>
    <w:rsid w:val="00236C48"/>
    <w:rsid w:val="0024679C"/>
    <w:rsid w:val="002F0C28"/>
    <w:rsid w:val="003119AA"/>
    <w:rsid w:val="00314B5B"/>
    <w:rsid w:val="003B5828"/>
    <w:rsid w:val="003C6589"/>
    <w:rsid w:val="00474E65"/>
    <w:rsid w:val="00475EBA"/>
    <w:rsid w:val="004E776E"/>
    <w:rsid w:val="004F1F59"/>
    <w:rsid w:val="005119EA"/>
    <w:rsid w:val="00551387"/>
    <w:rsid w:val="00573AEA"/>
    <w:rsid w:val="00591E82"/>
    <w:rsid w:val="006626A3"/>
    <w:rsid w:val="006829E1"/>
    <w:rsid w:val="006A6FF1"/>
    <w:rsid w:val="006D7906"/>
    <w:rsid w:val="006E23DC"/>
    <w:rsid w:val="006E3491"/>
    <w:rsid w:val="006F67BB"/>
    <w:rsid w:val="00701726"/>
    <w:rsid w:val="007156A0"/>
    <w:rsid w:val="007D58A5"/>
    <w:rsid w:val="007F3F1F"/>
    <w:rsid w:val="00816AC4"/>
    <w:rsid w:val="008430EA"/>
    <w:rsid w:val="00853222"/>
    <w:rsid w:val="00865B12"/>
    <w:rsid w:val="00865E8D"/>
    <w:rsid w:val="008C6F5B"/>
    <w:rsid w:val="00917F22"/>
    <w:rsid w:val="009354FA"/>
    <w:rsid w:val="0095199E"/>
    <w:rsid w:val="00996B3B"/>
    <w:rsid w:val="009D1BE0"/>
    <w:rsid w:val="009E788E"/>
    <w:rsid w:val="00B07F7E"/>
    <w:rsid w:val="00B20D9B"/>
    <w:rsid w:val="00B97A3D"/>
    <w:rsid w:val="00BA52FF"/>
    <w:rsid w:val="00BE5C04"/>
    <w:rsid w:val="00C06F5D"/>
    <w:rsid w:val="00CA1DEB"/>
    <w:rsid w:val="00CC2BFB"/>
    <w:rsid w:val="00D770AE"/>
    <w:rsid w:val="00D90873"/>
    <w:rsid w:val="00DD44FC"/>
    <w:rsid w:val="00DD4795"/>
    <w:rsid w:val="00E62B9C"/>
    <w:rsid w:val="00EB46B1"/>
    <w:rsid w:val="00F73E60"/>
    <w:rsid w:val="00F92B20"/>
    <w:rsid w:val="00FD0CD4"/>
    <w:rsid w:val="00FE31E6"/>
    <w:rsid w:val="00FE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79C"/>
    <w:pPr>
      <w:widowControl w:val="0"/>
      <w:spacing w:line="588" w:lineRule="atLeast"/>
      <w:jc w:val="both"/>
    </w:pPr>
    <w:rPr>
      <w:rFonts w:ascii="宋体" w:eastAsia="宋体" w:hAnsi="宋体" w:cs="宋体"/>
      <w:color w:val="000000"/>
      <w:spacing w:val="5"/>
      <w:kern w:val="2"/>
      <w:sz w:val="30"/>
      <w:szCs w:val="30"/>
      <w:u w:color="000000"/>
      <w:lang w:eastAsia="en-US"/>
    </w:rPr>
  </w:style>
  <w:style w:type="paragraph" w:styleId="1">
    <w:name w:val="heading 1"/>
    <w:next w:val="A0"/>
    <w:link w:val="1Char"/>
    <w:rsid w:val="006829E1"/>
    <w:pPr>
      <w:keepNext/>
      <w:keepLines/>
      <w:widowControl w:val="0"/>
      <w:spacing w:before="340" w:after="330" w:line="578" w:lineRule="auto"/>
      <w:jc w:val="both"/>
      <w:outlineLvl w:val="0"/>
    </w:pPr>
    <w:rPr>
      <w:rFonts w:ascii="Arial Unicode MS" w:eastAsia="Times New Roman Bold" w:hAnsi="Arial Unicode MS" w:cs="Arial Unicode MS" w:hint="eastAsia"/>
      <w:color w:val="000000"/>
      <w:kern w:val="44"/>
      <w:sz w:val="44"/>
      <w:szCs w:val="4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4679C"/>
    <w:rPr>
      <w:u w:val="single"/>
    </w:rPr>
  </w:style>
  <w:style w:type="table" w:customStyle="1" w:styleId="TableNormal">
    <w:name w:val="Table Normal"/>
    <w:rsid w:val="0024679C"/>
    <w:tblPr>
      <w:tblInd w:w="0" w:type="dxa"/>
      <w:tblCellMar>
        <w:top w:w="0" w:type="dxa"/>
        <w:left w:w="0" w:type="dxa"/>
        <w:bottom w:w="0" w:type="dxa"/>
        <w:right w:w="0" w:type="dxa"/>
      </w:tblCellMar>
    </w:tblPr>
  </w:style>
  <w:style w:type="paragraph" w:customStyle="1" w:styleId="a5">
    <w:name w:val="页眉与页脚"/>
    <w:rsid w:val="0024679C"/>
    <w:pPr>
      <w:tabs>
        <w:tab w:val="right" w:pos="9020"/>
      </w:tabs>
    </w:pPr>
    <w:rPr>
      <w:rFonts w:ascii="Helvetica" w:hAnsi="Arial Unicode MS" w:cs="Arial Unicode MS"/>
      <w:color w:val="000000"/>
      <w:sz w:val="24"/>
      <w:szCs w:val="24"/>
    </w:rPr>
  </w:style>
  <w:style w:type="paragraph" w:styleId="a6">
    <w:name w:val="footer"/>
    <w:link w:val="Char"/>
    <w:uiPriority w:val="99"/>
    <w:rsid w:val="0024679C"/>
    <w:pPr>
      <w:widowControl w:val="0"/>
      <w:tabs>
        <w:tab w:val="center" w:pos="4153"/>
        <w:tab w:val="right" w:pos="8306"/>
      </w:tabs>
      <w:spacing w:line="588" w:lineRule="atLeast"/>
    </w:pPr>
    <w:rPr>
      <w:rFonts w:ascii="宋体" w:eastAsia="宋体" w:hAnsi="宋体" w:cs="宋体"/>
      <w:color w:val="000000"/>
      <w:spacing w:val="6"/>
      <w:kern w:val="2"/>
      <w:sz w:val="18"/>
      <w:szCs w:val="18"/>
      <w:u w:color="000000"/>
    </w:rPr>
  </w:style>
  <w:style w:type="paragraph" w:styleId="a7">
    <w:name w:val="header"/>
    <w:basedOn w:val="a"/>
    <w:link w:val="Char0"/>
    <w:uiPriority w:val="99"/>
    <w:unhideWhenUsed/>
    <w:rsid w:val="003119A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1"/>
    <w:link w:val="a7"/>
    <w:uiPriority w:val="99"/>
    <w:rsid w:val="003119AA"/>
    <w:rPr>
      <w:rFonts w:ascii="宋体" w:eastAsia="宋体" w:hAnsi="宋体" w:cs="宋体"/>
      <w:color w:val="000000"/>
      <w:spacing w:val="5"/>
      <w:kern w:val="2"/>
      <w:sz w:val="18"/>
      <w:szCs w:val="18"/>
      <w:u w:color="000000"/>
      <w:lang w:eastAsia="en-US"/>
    </w:rPr>
  </w:style>
  <w:style w:type="paragraph" w:styleId="a8">
    <w:name w:val="Document Map"/>
    <w:basedOn w:val="a"/>
    <w:link w:val="Char1"/>
    <w:uiPriority w:val="99"/>
    <w:semiHidden/>
    <w:unhideWhenUsed/>
    <w:rsid w:val="00B20D9B"/>
    <w:rPr>
      <w:sz w:val="18"/>
      <w:szCs w:val="18"/>
    </w:rPr>
  </w:style>
  <w:style w:type="character" w:customStyle="1" w:styleId="Char1">
    <w:name w:val="文档结构图 Char"/>
    <w:basedOn w:val="a1"/>
    <w:link w:val="a8"/>
    <w:uiPriority w:val="99"/>
    <w:semiHidden/>
    <w:rsid w:val="00B20D9B"/>
    <w:rPr>
      <w:rFonts w:ascii="宋体" w:eastAsia="宋体" w:hAnsi="宋体" w:cs="宋体"/>
      <w:color w:val="000000"/>
      <w:spacing w:val="5"/>
      <w:kern w:val="2"/>
      <w:sz w:val="18"/>
      <w:szCs w:val="18"/>
      <w:u w:color="000000"/>
      <w:lang w:eastAsia="en-US"/>
    </w:rPr>
  </w:style>
  <w:style w:type="character" w:styleId="a9">
    <w:name w:val="annotation reference"/>
    <w:basedOn w:val="a1"/>
    <w:uiPriority w:val="99"/>
    <w:semiHidden/>
    <w:unhideWhenUsed/>
    <w:rsid w:val="000B17C4"/>
    <w:rPr>
      <w:sz w:val="21"/>
      <w:szCs w:val="21"/>
    </w:rPr>
  </w:style>
  <w:style w:type="paragraph" w:styleId="aa">
    <w:name w:val="annotation text"/>
    <w:basedOn w:val="a"/>
    <w:link w:val="Char2"/>
    <w:uiPriority w:val="99"/>
    <w:semiHidden/>
    <w:unhideWhenUsed/>
    <w:rsid w:val="000B17C4"/>
    <w:pPr>
      <w:jc w:val="left"/>
    </w:pPr>
  </w:style>
  <w:style w:type="character" w:customStyle="1" w:styleId="Char2">
    <w:name w:val="批注文字 Char"/>
    <w:basedOn w:val="a1"/>
    <w:link w:val="aa"/>
    <w:uiPriority w:val="99"/>
    <w:semiHidden/>
    <w:rsid w:val="000B17C4"/>
    <w:rPr>
      <w:rFonts w:ascii="宋体" w:eastAsia="宋体" w:hAnsi="宋体" w:cs="宋体"/>
      <w:color w:val="000000"/>
      <w:spacing w:val="5"/>
      <w:kern w:val="2"/>
      <w:sz w:val="30"/>
      <w:szCs w:val="30"/>
      <w:u w:color="000000"/>
      <w:lang w:eastAsia="en-US"/>
    </w:rPr>
  </w:style>
  <w:style w:type="paragraph" w:styleId="ab">
    <w:name w:val="annotation subject"/>
    <w:basedOn w:val="aa"/>
    <w:next w:val="aa"/>
    <w:link w:val="Char3"/>
    <w:uiPriority w:val="99"/>
    <w:semiHidden/>
    <w:unhideWhenUsed/>
    <w:rsid w:val="000B17C4"/>
    <w:rPr>
      <w:b/>
      <w:bCs/>
    </w:rPr>
  </w:style>
  <w:style w:type="character" w:customStyle="1" w:styleId="Char3">
    <w:name w:val="批注主题 Char"/>
    <w:basedOn w:val="Char2"/>
    <w:link w:val="ab"/>
    <w:uiPriority w:val="99"/>
    <w:semiHidden/>
    <w:rsid w:val="000B17C4"/>
    <w:rPr>
      <w:rFonts w:ascii="宋体" w:eastAsia="宋体" w:hAnsi="宋体" w:cs="宋体"/>
      <w:b/>
      <w:bCs/>
      <w:color w:val="000000"/>
      <w:spacing w:val="5"/>
      <w:kern w:val="2"/>
      <w:sz w:val="30"/>
      <w:szCs w:val="30"/>
      <w:u w:color="000000"/>
      <w:lang w:eastAsia="en-US"/>
    </w:rPr>
  </w:style>
  <w:style w:type="paragraph" w:styleId="ac">
    <w:name w:val="Balloon Text"/>
    <w:basedOn w:val="a"/>
    <w:link w:val="Char4"/>
    <w:uiPriority w:val="99"/>
    <w:semiHidden/>
    <w:unhideWhenUsed/>
    <w:rsid w:val="000B17C4"/>
    <w:pPr>
      <w:spacing w:line="240" w:lineRule="auto"/>
    </w:pPr>
    <w:rPr>
      <w:sz w:val="18"/>
      <w:szCs w:val="18"/>
    </w:rPr>
  </w:style>
  <w:style w:type="character" w:customStyle="1" w:styleId="Char4">
    <w:name w:val="批注框文本 Char"/>
    <w:basedOn w:val="a1"/>
    <w:link w:val="ac"/>
    <w:uiPriority w:val="99"/>
    <w:semiHidden/>
    <w:rsid w:val="000B17C4"/>
    <w:rPr>
      <w:rFonts w:ascii="宋体" w:eastAsia="宋体" w:hAnsi="宋体" w:cs="宋体"/>
      <w:color w:val="000000"/>
      <w:spacing w:val="5"/>
      <w:kern w:val="2"/>
      <w:sz w:val="18"/>
      <w:szCs w:val="18"/>
      <w:u w:color="000000"/>
      <w:lang w:eastAsia="en-US"/>
    </w:rPr>
  </w:style>
  <w:style w:type="character" w:customStyle="1" w:styleId="Char">
    <w:name w:val="页脚 Char"/>
    <w:basedOn w:val="a1"/>
    <w:link w:val="a6"/>
    <w:uiPriority w:val="99"/>
    <w:rsid w:val="00DD4795"/>
    <w:rPr>
      <w:rFonts w:ascii="宋体" w:eastAsia="宋体" w:hAnsi="宋体" w:cs="宋体"/>
      <w:color w:val="000000"/>
      <w:spacing w:val="6"/>
      <w:kern w:val="2"/>
      <w:sz w:val="18"/>
      <w:szCs w:val="18"/>
      <w:u w:color="000000"/>
    </w:rPr>
  </w:style>
  <w:style w:type="character" w:customStyle="1" w:styleId="1Char">
    <w:name w:val="标题 1 Char"/>
    <w:basedOn w:val="a1"/>
    <w:link w:val="1"/>
    <w:rsid w:val="006829E1"/>
    <w:rPr>
      <w:rFonts w:ascii="Arial Unicode MS" w:eastAsia="Times New Roman Bold" w:hAnsi="Arial Unicode MS" w:cs="Arial Unicode MS"/>
      <w:color w:val="000000"/>
      <w:kern w:val="44"/>
      <w:sz w:val="44"/>
      <w:szCs w:val="44"/>
      <w:u w:color="000000"/>
    </w:rPr>
  </w:style>
  <w:style w:type="paragraph" w:customStyle="1" w:styleId="A0">
    <w:name w:val="正文 A"/>
    <w:rsid w:val="006829E1"/>
    <w:pPr>
      <w:widowControl w:val="0"/>
      <w:jc w:val="both"/>
    </w:pPr>
    <w:rPr>
      <w:rFonts w:ascii="Arial Unicode MS" w:eastAsia="Times New Roman" w:hAnsi="Arial Unicode MS" w:cs="Arial Unicode MS" w:hint="eastAsia"/>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79C"/>
    <w:pPr>
      <w:widowControl w:val="0"/>
      <w:spacing w:line="588" w:lineRule="atLeast"/>
      <w:jc w:val="both"/>
    </w:pPr>
    <w:rPr>
      <w:rFonts w:ascii="宋体" w:eastAsia="宋体" w:hAnsi="宋体" w:cs="宋体"/>
      <w:color w:val="000000"/>
      <w:spacing w:val="5"/>
      <w:kern w:val="2"/>
      <w:sz w:val="30"/>
      <w:szCs w:val="30"/>
      <w:u w:color="000000"/>
      <w:lang w:eastAsia="en-US"/>
    </w:rPr>
  </w:style>
  <w:style w:type="paragraph" w:styleId="1">
    <w:name w:val="heading 1"/>
    <w:next w:val="A0"/>
    <w:link w:val="1Char"/>
    <w:rsid w:val="006829E1"/>
    <w:pPr>
      <w:keepNext/>
      <w:keepLines/>
      <w:widowControl w:val="0"/>
      <w:spacing w:before="340" w:after="330" w:line="578" w:lineRule="auto"/>
      <w:jc w:val="both"/>
      <w:outlineLvl w:val="0"/>
    </w:pPr>
    <w:rPr>
      <w:rFonts w:ascii="Arial Unicode MS" w:eastAsia="Times New Roman Bold" w:hAnsi="Arial Unicode MS" w:cs="Arial Unicode MS" w:hint="eastAsia"/>
      <w:color w:val="000000"/>
      <w:kern w:val="44"/>
      <w:sz w:val="44"/>
      <w:szCs w:val="4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4679C"/>
    <w:rPr>
      <w:u w:val="single"/>
    </w:rPr>
  </w:style>
  <w:style w:type="table" w:customStyle="1" w:styleId="TableNormal">
    <w:name w:val="Table Normal"/>
    <w:rsid w:val="0024679C"/>
    <w:tblPr>
      <w:tblInd w:w="0" w:type="dxa"/>
      <w:tblCellMar>
        <w:top w:w="0" w:type="dxa"/>
        <w:left w:w="0" w:type="dxa"/>
        <w:bottom w:w="0" w:type="dxa"/>
        <w:right w:w="0" w:type="dxa"/>
      </w:tblCellMar>
    </w:tblPr>
  </w:style>
  <w:style w:type="paragraph" w:customStyle="1" w:styleId="a5">
    <w:name w:val="页眉与页脚"/>
    <w:rsid w:val="0024679C"/>
    <w:pPr>
      <w:tabs>
        <w:tab w:val="right" w:pos="9020"/>
      </w:tabs>
    </w:pPr>
    <w:rPr>
      <w:rFonts w:ascii="Helvetica" w:hAnsi="Arial Unicode MS" w:cs="Arial Unicode MS"/>
      <w:color w:val="000000"/>
      <w:sz w:val="24"/>
      <w:szCs w:val="24"/>
    </w:rPr>
  </w:style>
  <w:style w:type="paragraph" w:styleId="a6">
    <w:name w:val="footer"/>
    <w:link w:val="Char"/>
    <w:uiPriority w:val="99"/>
    <w:rsid w:val="0024679C"/>
    <w:pPr>
      <w:widowControl w:val="0"/>
      <w:tabs>
        <w:tab w:val="center" w:pos="4153"/>
        <w:tab w:val="right" w:pos="8306"/>
      </w:tabs>
      <w:spacing w:line="588" w:lineRule="atLeast"/>
    </w:pPr>
    <w:rPr>
      <w:rFonts w:ascii="宋体" w:eastAsia="宋体" w:hAnsi="宋体" w:cs="宋体"/>
      <w:color w:val="000000"/>
      <w:spacing w:val="6"/>
      <w:kern w:val="2"/>
      <w:sz w:val="18"/>
      <w:szCs w:val="18"/>
      <w:u w:color="000000"/>
    </w:rPr>
  </w:style>
  <w:style w:type="paragraph" w:styleId="a7">
    <w:name w:val="header"/>
    <w:basedOn w:val="a"/>
    <w:link w:val="Char0"/>
    <w:uiPriority w:val="99"/>
    <w:unhideWhenUsed/>
    <w:rsid w:val="003119A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1"/>
    <w:link w:val="a7"/>
    <w:uiPriority w:val="99"/>
    <w:rsid w:val="003119AA"/>
    <w:rPr>
      <w:rFonts w:ascii="宋体" w:eastAsia="宋体" w:hAnsi="宋体" w:cs="宋体"/>
      <w:color w:val="000000"/>
      <w:spacing w:val="5"/>
      <w:kern w:val="2"/>
      <w:sz w:val="18"/>
      <w:szCs w:val="18"/>
      <w:u w:color="000000"/>
      <w:lang w:eastAsia="en-US"/>
    </w:rPr>
  </w:style>
  <w:style w:type="paragraph" w:styleId="a8">
    <w:name w:val="Document Map"/>
    <w:basedOn w:val="a"/>
    <w:link w:val="Char1"/>
    <w:uiPriority w:val="99"/>
    <w:semiHidden/>
    <w:unhideWhenUsed/>
    <w:rsid w:val="00B20D9B"/>
    <w:rPr>
      <w:sz w:val="18"/>
      <w:szCs w:val="18"/>
    </w:rPr>
  </w:style>
  <w:style w:type="character" w:customStyle="1" w:styleId="Char1">
    <w:name w:val="文档结构图 Char"/>
    <w:basedOn w:val="a1"/>
    <w:link w:val="a8"/>
    <w:uiPriority w:val="99"/>
    <w:semiHidden/>
    <w:rsid w:val="00B20D9B"/>
    <w:rPr>
      <w:rFonts w:ascii="宋体" w:eastAsia="宋体" w:hAnsi="宋体" w:cs="宋体"/>
      <w:color w:val="000000"/>
      <w:spacing w:val="5"/>
      <w:kern w:val="2"/>
      <w:sz w:val="18"/>
      <w:szCs w:val="18"/>
      <w:u w:color="000000"/>
      <w:lang w:eastAsia="en-US"/>
    </w:rPr>
  </w:style>
  <w:style w:type="character" w:styleId="a9">
    <w:name w:val="annotation reference"/>
    <w:basedOn w:val="a1"/>
    <w:uiPriority w:val="99"/>
    <w:semiHidden/>
    <w:unhideWhenUsed/>
    <w:rsid w:val="000B17C4"/>
    <w:rPr>
      <w:sz w:val="21"/>
      <w:szCs w:val="21"/>
    </w:rPr>
  </w:style>
  <w:style w:type="paragraph" w:styleId="aa">
    <w:name w:val="annotation text"/>
    <w:basedOn w:val="a"/>
    <w:link w:val="Char2"/>
    <w:uiPriority w:val="99"/>
    <w:semiHidden/>
    <w:unhideWhenUsed/>
    <w:rsid w:val="000B17C4"/>
    <w:pPr>
      <w:jc w:val="left"/>
    </w:pPr>
  </w:style>
  <w:style w:type="character" w:customStyle="1" w:styleId="Char2">
    <w:name w:val="批注文字 Char"/>
    <w:basedOn w:val="a1"/>
    <w:link w:val="aa"/>
    <w:uiPriority w:val="99"/>
    <w:semiHidden/>
    <w:rsid w:val="000B17C4"/>
    <w:rPr>
      <w:rFonts w:ascii="宋体" w:eastAsia="宋体" w:hAnsi="宋体" w:cs="宋体"/>
      <w:color w:val="000000"/>
      <w:spacing w:val="5"/>
      <w:kern w:val="2"/>
      <w:sz w:val="30"/>
      <w:szCs w:val="30"/>
      <w:u w:color="000000"/>
      <w:lang w:eastAsia="en-US"/>
    </w:rPr>
  </w:style>
  <w:style w:type="paragraph" w:styleId="ab">
    <w:name w:val="annotation subject"/>
    <w:basedOn w:val="aa"/>
    <w:next w:val="aa"/>
    <w:link w:val="Char3"/>
    <w:uiPriority w:val="99"/>
    <w:semiHidden/>
    <w:unhideWhenUsed/>
    <w:rsid w:val="000B17C4"/>
    <w:rPr>
      <w:b/>
      <w:bCs/>
    </w:rPr>
  </w:style>
  <w:style w:type="character" w:customStyle="1" w:styleId="Char3">
    <w:name w:val="批注主题 Char"/>
    <w:basedOn w:val="Char2"/>
    <w:link w:val="ab"/>
    <w:uiPriority w:val="99"/>
    <w:semiHidden/>
    <w:rsid w:val="000B17C4"/>
    <w:rPr>
      <w:rFonts w:ascii="宋体" w:eastAsia="宋体" w:hAnsi="宋体" w:cs="宋体"/>
      <w:b/>
      <w:bCs/>
      <w:color w:val="000000"/>
      <w:spacing w:val="5"/>
      <w:kern w:val="2"/>
      <w:sz w:val="30"/>
      <w:szCs w:val="30"/>
      <w:u w:color="000000"/>
      <w:lang w:eastAsia="en-US"/>
    </w:rPr>
  </w:style>
  <w:style w:type="paragraph" w:styleId="ac">
    <w:name w:val="Balloon Text"/>
    <w:basedOn w:val="a"/>
    <w:link w:val="Char4"/>
    <w:uiPriority w:val="99"/>
    <w:semiHidden/>
    <w:unhideWhenUsed/>
    <w:rsid w:val="000B17C4"/>
    <w:pPr>
      <w:spacing w:line="240" w:lineRule="auto"/>
    </w:pPr>
    <w:rPr>
      <w:sz w:val="18"/>
      <w:szCs w:val="18"/>
    </w:rPr>
  </w:style>
  <w:style w:type="character" w:customStyle="1" w:styleId="Char4">
    <w:name w:val="批注框文本 Char"/>
    <w:basedOn w:val="a1"/>
    <w:link w:val="ac"/>
    <w:uiPriority w:val="99"/>
    <w:semiHidden/>
    <w:rsid w:val="000B17C4"/>
    <w:rPr>
      <w:rFonts w:ascii="宋体" w:eastAsia="宋体" w:hAnsi="宋体" w:cs="宋体"/>
      <w:color w:val="000000"/>
      <w:spacing w:val="5"/>
      <w:kern w:val="2"/>
      <w:sz w:val="18"/>
      <w:szCs w:val="18"/>
      <w:u w:color="000000"/>
      <w:lang w:eastAsia="en-US"/>
    </w:rPr>
  </w:style>
  <w:style w:type="character" w:customStyle="1" w:styleId="Char">
    <w:name w:val="页脚 Char"/>
    <w:basedOn w:val="a1"/>
    <w:link w:val="a6"/>
    <w:uiPriority w:val="99"/>
    <w:rsid w:val="00DD4795"/>
    <w:rPr>
      <w:rFonts w:ascii="宋体" w:eastAsia="宋体" w:hAnsi="宋体" w:cs="宋体"/>
      <w:color w:val="000000"/>
      <w:spacing w:val="6"/>
      <w:kern w:val="2"/>
      <w:sz w:val="18"/>
      <w:szCs w:val="18"/>
      <w:u w:color="000000"/>
    </w:rPr>
  </w:style>
  <w:style w:type="character" w:customStyle="1" w:styleId="1Char">
    <w:name w:val="标题 1 Char"/>
    <w:basedOn w:val="a1"/>
    <w:link w:val="1"/>
    <w:rsid w:val="006829E1"/>
    <w:rPr>
      <w:rFonts w:ascii="Arial Unicode MS" w:eastAsia="Times New Roman Bold" w:hAnsi="Arial Unicode MS" w:cs="Arial Unicode MS"/>
      <w:color w:val="000000"/>
      <w:kern w:val="44"/>
      <w:sz w:val="44"/>
      <w:szCs w:val="44"/>
      <w:u w:color="000000"/>
    </w:rPr>
  </w:style>
  <w:style w:type="paragraph" w:customStyle="1" w:styleId="A0">
    <w:name w:val="正文 A"/>
    <w:rsid w:val="006829E1"/>
    <w:pPr>
      <w:widowControl w:val="0"/>
      <w:jc w:val="both"/>
    </w:pPr>
    <w:rPr>
      <w:rFonts w:ascii="Arial Unicode MS" w:eastAsia="Times New Roman" w:hAnsi="Arial Unicode MS" w:cs="Arial Unicode MS" w:hint="eastAsia"/>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3712-E903-445F-B432-5E3F31DB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DengYanfang</dc:creator>
  <cp:lastModifiedBy>杜斯达</cp:lastModifiedBy>
  <cp:revision>9</cp:revision>
  <dcterms:created xsi:type="dcterms:W3CDTF">2014-11-20T01:11:00Z</dcterms:created>
  <dcterms:modified xsi:type="dcterms:W3CDTF">2014-11-21T07:06:00Z</dcterms:modified>
</cp:coreProperties>
</file>