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jc w:val="left"/>
        <w:rPr>
          <w:rFonts w:ascii="仿宋_GB2312" w:hAnsi="宋体" w:eastAsia="仿宋_GB2312"/>
          <w:sz w:val="32"/>
          <w:szCs w:val="32"/>
        </w:rPr>
      </w:pPr>
      <w:r>
        <w:rPr>
          <w:rFonts w:hint="eastAsia" w:ascii="仿宋_GB2312" w:hAnsi="宋体" w:eastAsia="仿宋_GB2312"/>
          <w:sz w:val="32"/>
          <w:szCs w:val="32"/>
        </w:rPr>
        <w:t>附件3：</w:t>
      </w:r>
    </w:p>
    <w:p>
      <w:pPr>
        <w:adjustRightInd w:val="0"/>
        <w:snapToGrid w:val="0"/>
        <w:jc w:val="center"/>
        <w:rPr>
          <w:rFonts w:ascii="华文中宋" w:hAnsi="华文中宋" w:eastAsia="华文中宋"/>
          <w:b/>
          <w:sz w:val="44"/>
          <w:szCs w:val="44"/>
        </w:rPr>
      </w:pPr>
    </w:p>
    <w:p>
      <w:pPr>
        <w:adjustRightInd w:val="0"/>
        <w:snapToGrid w:val="0"/>
        <w:jc w:val="center"/>
        <w:rPr>
          <w:rFonts w:hint="eastAsia" w:ascii="华文中宋" w:hAnsi="华文中宋" w:eastAsia="华文中宋"/>
          <w:sz w:val="44"/>
          <w:szCs w:val="44"/>
        </w:rPr>
      </w:pPr>
      <w:r>
        <w:rPr>
          <w:rFonts w:hint="eastAsia" w:ascii="华文中宋" w:hAnsi="华文中宋" w:eastAsia="华文中宋"/>
          <w:sz w:val="44"/>
          <w:szCs w:val="44"/>
        </w:rPr>
        <w:t>资产评估操作专家提示</w:t>
      </w:r>
    </w:p>
    <w:p>
      <w:pPr>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——以并购为目的的投资价值</w:t>
      </w:r>
    </w:p>
    <w:p>
      <w:pPr>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（征求意见稿）</w:t>
      </w:r>
    </w:p>
    <w:p>
      <w:pPr>
        <w:adjustRightInd w:val="0"/>
        <w:snapToGrid w:val="0"/>
        <w:rPr>
          <w:rFonts w:ascii="仿宋_GB2312" w:hAnsi="宋体" w:eastAsia="仿宋_GB2312"/>
          <w:sz w:val="32"/>
          <w:szCs w:val="32"/>
        </w:rPr>
      </w:pP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本专家提示是一种专家意见。评估机构执行资产评估业务，可以参照本专家提示，也可以根据具体情况采用其他适当的做法。中国资产评估协会将根据业务发展，对本专家提示进行更新。</w:t>
      </w:r>
    </w:p>
    <w:p>
      <w:pPr>
        <w:adjustRightInd w:val="0"/>
        <w:snapToGrid w:val="0"/>
        <w:spacing w:line="276" w:lineRule="auto"/>
        <w:ind w:firstLine="640" w:firstLineChars="200"/>
        <w:rPr>
          <w:rFonts w:ascii="仿宋_GB2312" w:hAnsi="宋体" w:eastAsia="仿宋_GB2312"/>
          <w:sz w:val="32"/>
          <w:szCs w:val="32"/>
        </w:rPr>
      </w:pP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第一条 为指导在执行</w:t>
      </w:r>
      <w:r>
        <w:rPr>
          <w:rFonts w:hint="eastAsia" w:ascii="仿宋_GB2312" w:hAnsi="宋体" w:eastAsia="仿宋_GB2312"/>
          <w:sz w:val="32"/>
          <w:szCs w:val="32"/>
          <w:lang w:eastAsia="zh-CN"/>
        </w:rPr>
        <w:t>以</w:t>
      </w:r>
      <w:r>
        <w:rPr>
          <w:rFonts w:hint="eastAsia" w:ascii="仿宋_GB2312" w:hAnsi="宋体" w:eastAsia="仿宋_GB2312"/>
          <w:sz w:val="32"/>
          <w:szCs w:val="32"/>
        </w:rPr>
        <w:t>并购</w:t>
      </w:r>
      <w:r>
        <w:rPr>
          <w:rFonts w:hint="eastAsia" w:ascii="仿宋_GB2312" w:hAnsi="宋体" w:eastAsia="仿宋_GB2312"/>
          <w:sz w:val="32"/>
          <w:szCs w:val="32"/>
          <w:lang w:eastAsia="zh-CN"/>
        </w:rPr>
        <w:t>为</w:t>
      </w:r>
      <w:r>
        <w:rPr>
          <w:rFonts w:hint="eastAsia" w:ascii="仿宋_GB2312" w:hAnsi="宋体" w:eastAsia="仿宋_GB2312"/>
          <w:sz w:val="32"/>
          <w:szCs w:val="32"/>
        </w:rPr>
        <w:t>目的的评估业务中使用投资价值类型，更好的为特定投资者的并购行为提供合理有效的投资决策依据，中国资产评估协会组织制定了本专家提示。</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第二条</w:t>
      </w:r>
      <w:r>
        <w:rPr>
          <w:rFonts w:hint="eastAsia" w:ascii="仿宋_GB2312" w:hAnsi="宋体" w:eastAsia="仿宋_GB2312"/>
          <w:sz w:val="32"/>
          <w:szCs w:val="32"/>
        </w:rPr>
        <w:tab/>
      </w:r>
      <w:r>
        <w:rPr>
          <w:rFonts w:hint="eastAsia" w:ascii="仿宋_GB2312" w:hAnsi="宋体" w:eastAsia="仿宋_GB2312"/>
          <w:sz w:val="32"/>
          <w:szCs w:val="32"/>
        </w:rPr>
        <w:t xml:space="preserve"> 投资价值是指评估对象对于具有明确投资目标的特定投资者或者某一类投资者所具有的价值估计数额，亦称特定投资者价值。</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第三条 本专家提示所称以并购为目的的投资价值评估，是指接受委托方委托，依据相关法律、法规和资产评估准则，基于明确的并购目的，对确定的评估对象的投资价值进行的分析、估算并发表专业意见的行为和过程。</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第四条 承接以并购为目的的投资价值评估业务时，应当事前明确潜在的并购方及被并购对象，投资价值评估的结论是针对特定投资者或某一类投资者的，不适用于其他投资者。</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第五条</w:t>
      </w:r>
      <w:r>
        <w:rPr>
          <w:rFonts w:hint="eastAsia" w:ascii="仿宋_GB2312" w:hAnsi="宋体" w:eastAsia="仿宋_GB2312"/>
          <w:sz w:val="32"/>
          <w:szCs w:val="32"/>
        </w:rPr>
        <w:tab/>
      </w:r>
      <w:r>
        <w:rPr>
          <w:rFonts w:hint="eastAsia" w:ascii="仿宋_GB2312" w:hAnsi="宋体" w:eastAsia="仿宋_GB2312"/>
          <w:sz w:val="32"/>
          <w:szCs w:val="32"/>
        </w:rPr>
        <w:t xml:space="preserve"> 投资价值与市场价值的主要区别在于并购行为实施后所能产生的附加价值，一般通过量化预期并购后双方能产生的协同效应价值来反映。协同效应是指并购行为实施后，并购后企业的预期总体经营效益与并购前各自独立经营时的预期效益之和的差异部分，主要包括管理协同效应、经营协同效应、财务协同效应，以及其他可能影响业绩的途径。</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第六条 适用于估算投资价值的协同效应只是针对特定投资者或某一类投资者的协同效应，适用于一般市场参与者的普遍协同效应是市场价值的组成部分。</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第七条</w:t>
      </w:r>
      <w:r>
        <w:rPr>
          <w:rFonts w:hint="eastAsia" w:ascii="仿宋_GB2312" w:hAnsi="宋体" w:eastAsia="仿宋_GB2312"/>
          <w:sz w:val="32"/>
          <w:szCs w:val="32"/>
        </w:rPr>
        <w:tab/>
      </w:r>
      <w:r>
        <w:rPr>
          <w:rFonts w:hint="eastAsia" w:ascii="仿宋_GB2312" w:hAnsi="宋体" w:eastAsia="仿宋_GB2312"/>
          <w:sz w:val="32"/>
          <w:szCs w:val="32"/>
        </w:rPr>
        <w:t>协同效应可能体现在被并购对象、并购方或并购方所控制的其他对象中，具体需要根据并购双方的实际情况、并购方案、并购目的和资产业务的特点等进行综合分析和判断。</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第八条</w:t>
      </w:r>
      <w:r>
        <w:rPr>
          <w:rFonts w:hint="eastAsia" w:ascii="仿宋_GB2312" w:hAnsi="宋体" w:eastAsia="仿宋_GB2312"/>
          <w:sz w:val="32"/>
          <w:szCs w:val="32"/>
        </w:rPr>
        <w:tab/>
      </w:r>
      <w:r>
        <w:rPr>
          <w:rFonts w:hint="eastAsia" w:ascii="仿宋_GB2312" w:hAnsi="宋体" w:eastAsia="仿宋_GB2312"/>
          <w:sz w:val="32"/>
          <w:szCs w:val="32"/>
        </w:rPr>
        <w:t>执行以并购为目的的投资价值评估业务时，需要充分了解并披露并购方的并购目的以及并购方案，不同的并购预期目标和并购方案，可能会形成不同的投资价值评估结论。</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第九条 执行以并购为目的的投资价值评估业务时，可以在充分了解并购行为所涉及各方信息的基础上，分析各种协同效应产生的可能性和具体的表现形式，并合理量化所产生协同效应的经济价值。</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管理协同效应是指并购给企业管理活动在效率方面带来的变化以及效率的提高所产生的效益；主要表现为企业可以提高运营效率以及充分利用过剩的</w:t>
      </w:r>
      <w:r>
        <w:fldChar w:fldCharType="begin"/>
      </w:r>
      <w:r>
        <w:instrText xml:space="preserve">HYPERLINK "http://wiki.mbalib.com/wiki/ç®¡çèµæº" \o "管理资源" </w:instrText>
      </w:r>
      <w:r>
        <w:fldChar w:fldCharType="separate"/>
      </w:r>
      <w:r>
        <w:rPr>
          <w:rFonts w:hint="eastAsia" w:ascii="仿宋_GB2312" w:hAnsi="宋体" w:eastAsia="仿宋_GB2312"/>
          <w:sz w:val="32"/>
          <w:szCs w:val="32"/>
        </w:rPr>
        <w:t>管理资源</w:t>
      </w:r>
      <w:r>
        <w:fldChar w:fldCharType="end"/>
      </w:r>
      <w:r>
        <w:rPr>
          <w:rFonts w:hint="eastAsia" w:ascii="仿宋_GB2312" w:hAnsi="宋体" w:eastAsia="仿宋_GB2312"/>
          <w:sz w:val="32"/>
          <w:szCs w:val="32"/>
        </w:rPr>
        <w:t>，从而节省管理费用。</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经营协同效应是指并购给企业生产经营活动在效率方面带来的变化及效率的提高所产生的效益；主要表现为企业可以获取规模经济效应、纵向一体化效应、市场力或垄断权、资源互补等，从而增加收入、降低成本。</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财务协同效应是指并购使得企业低资本成本的内部资金可以投资于高效益项目，提高了企业资金使用效益；主要表现为并购后可以节约资本成本、提高资本收益率、合理避税和降低筹资成本等。</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当确实存在可能无法合理量化的其他协同效应时，可考虑在评估报告中以适当方式进行客观披露。</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多种协同效应综合后的企业整体协同效应和单个协同效应均可能存在正协同或负协同两种情形。</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第十条　执行以并购为目的的投资价值评估业务时，在综合分析并购目的、评估对象实际情况、可量化的协同效应、后续整合方案以及拟实施的评估途径后，应当在报告书中相应披露设定的评估假设，评估假设应该获得委托方的确认。</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第十一条  以并购为目的的投资价值评估重点是对协同效应价值的合理量化，对投资价值的评估主要有直接和间接两种评估路线：</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直接路线是指直接将各种协同因素考虑在并购后的评估对象中进行测算得出评估对象的投资价值。</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间接路线有两种方法：一是投资价值等于评估对象的市场价值、评估对象作为被并购主体获得的特定协同效应、以及评估对象给并购方带来的协同效应这三者价值之和，即评估对象投资价值=评估对象市场价值+评估对象特定协同效应价值+并购方特定协同效应价值；二是评估对象投资价值等于并购后企业总体市场价值（即并购后并购对象及并购方的总体价值）扣减并购方企业并购前的市场价值之后的价值，即评估对象投资价值=并购后企业总体市场价值–并购方企业并购前的市场价值。</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第十二条</w:t>
      </w:r>
      <w:r>
        <w:rPr>
          <w:rFonts w:hint="eastAsia" w:ascii="仿宋_GB2312" w:hAnsi="宋体" w:eastAsia="仿宋_GB2312"/>
          <w:sz w:val="32"/>
          <w:szCs w:val="32"/>
        </w:rPr>
        <w:tab/>
      </w:r>
      <w:r>
        <w:rPr>
          <w:rFonts w:hint="eastAsia" w:ascii="仿宋_GB2312" w:hAnsi="宋体" w:eastAsia="仿宋_GB2312"/>
          <w:sz w:val="32"/>
          <w:szCs w:val="32"/>
        </w:rPr>
        <w:t xml:space="preserve"> 执行以并购为目的的投资价值评估业务时，可以根据评估对象、并购方案、资料收集等相关条件，综合分析收益法、市场法和成本法的适用性后选用恰当的评估方法。</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第十三条  执行以并购为目的的投资价值评估业务时，应当披露确定的并购方案主要内容，如果存在几种并购方案，可以逐一披露方案的主要内容，以及与评估结论的对应关系。</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第十四条</w:t>
      </w:r>
      <w:r>
        <w:rPr>
          <w:rFonts w:hint="eastAsia" w:ascii="仿宋_GB2312" w:hAnsi="宋体" w:eastAsia="仿宋_GB2312"/>
          <w:sz w:val="32"/>
          <w:szCs w:val="32"/>
        </w:rPr>
        <w:tab/>
      </w:r>
      <w:r>
        <w:rPr>
          <w:rFonts w:hint="eastAsia" w:ascii="仿宋_GB2312" w:hAnsi="宋体" w:eastAsia="仿宋_GB2312"/>
          <w:sz w:val="32"/>
          <w:szCs w:val="32"/>
        </w:rPr>
        <w:t>执行以并购为目的的投资价值评估业务时，可以根据委托方要求，在评估报告中披露协同效应的分析和判断过程，包括协同效应的类型表现形式、协同效应的来源和实现方式、协同效应量化计算所依据的数据来源等。</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第十五条  执行以并购为目的的投资价值评估业务时，应与委托方约定，是否需要获取评估对象的市场价值，并在报告中披露市场价值评估结论及其来源，以及影响市场价值结论的重大假设条件和特殊事项，在报告中同时披露市场价值和投资价值，并分析差异存在的主要方面及其合理性。</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第十六条 执行以并购为目的的投资价值评估业务时，可以分析影响评估结论的重大不确定性因素，针对具体的不确定性因素及其发生的可能性进行适当判断，并对评估结论进行必要的敏感性分析，在评估报告的特别事项说明部分进行披露。</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第十七条</w:t>
      </w:r>
      <w:r>
        <w:rPr>
          <w:rFonts w:hint="eastAsia" w:ascii="仿宋_GB2312" w:hAnsi="宋体" w:eastAsia="仿宋_GB2312"/>
          <w:sz w:val="32"/>
          <w:szCs w:val="32"/>
        </w:rPr>
        <w:tab/>
      </w:r>
      <w:r>
        <w:rPr>
          <w:rFonts w:hint="eastAsia" w:ascii="仿宋_GB2312" w:hAnsi="宋体" w:eastAsia="仿宋_GB2312"/>
          <w:sz w:val="32"/>
          <w:szCs w:val="32"/>
        </w:rPr>
        <w:t xml:space="preserve"> 本专家提示是以有关评估实践为基础，针对以并购为目的的投资价值的操作和披露要点提出的建议。本专家提示不是对相关资产评估准则和评估报告信息披露有关监管规定的补充和修正，也不是一项新的资产评估准则。</w:t>
      </w:r>
    </w:p>
    <w:p>
      <w:pPr>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480" w:lineRule="auto"/>
        <w:jc w:val="center"/>
        <w:rPr>
          <w:rFonts w:ascii="华文中宋" w:hAnsi="华文中宋" w:eastAsia="华文中宋"/>
          <w:sz w:val="44"/>
          <w:szCs w:val="44"/>
        </w:rPr>
      </w:pPr>
      <w:r>
        <w:rPr>
          <w:rFonts w:hint="eastAsia" w:ascii="华文中宋" w:hAnsi="华文中宋" w:eastAsia="华文中宋"/>
          <w:sz w:val="44"/>
          <w:szCs w:val="44"/>
        </w:rPr>
        <w:t>《资产评估操作专家提示—以并购为目的的投资价值（征求意见稿）》起草说明</w:t>
      </w:r>
    </w:p>
    <w:p>
      <w:pPr>
        <w:spacing w:line="480" w:lineRule="auto"/>
        <w:jc w:val="center"/>
        <w:rPr>
          <w:rFonts w:ascii="仿宋_GB2312" w:hAnsi="宋体" w:eastAsia="仿宋_GB2312"/>
          <w:sz w:val="32"/>
          <w:szCs w:val="32"/>
        </w:rPr>
      </w:pP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为指导执行以并购为目的的投资价值评估业务，更好的为特定投资者或某一类投资者提供并购对象合理有效的投资价值决策参考，中国资产评估协会（以下简称“中评协”）组织起草了《资产评估操作专家提示—以并购为目的的投资价值》（征求意见稿）（以下简称《专家提示》）。为便于评估业务执行人员，以及相关部门、人士全面理解《专家提示》，现将有关起草情况说明如下：</w:t>
      </w:r>
    </w:p>
    <w:p>
      <w:pPr>
        <w:adjustRightInd w:val="0"/>
        <w:snapToGrid w:val="0"/>
        <w:spacing w:line="360" w:lineRule="auto"/>
        <w:ind w:firstLine="640" w:firstLineChars="200"/>
        <w:rPr>
          <w:rFonts w:ascii="仿宋_GB2312" w:hAnsi="宋体" w:eastAsia="仿宋_GB2312"/>
          <w:b/>
          <w:bCs/>
          <w:sz w:val="32"/>
          <w:szCs w:val="32"/>
        </w:rPr>
      </w:pPr>
      <w:r>
        <w:rPr>
          <w:rFonts w:hint="eastAsia" w:ascii="仿宋_GB2312" w:hAnsi="宋体" w:eastAsia="仿宋_GB2312"/>
          <w:b/>
          <w:bCs/>
          <w:sz w:val="32"/>
          <w:szCs w:val="32"/>
        </w:rPr>
        <w:t>一、制定《专家提示》的必要性</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经过评估业界多年来的努力，服务于企业市场价值评估体系日趋完备并且广受认同，但对投资价值的研究和实务操作却相对滞后。目前的评估准则及一些规范中已经明确了市场价值和非市场价值等多种价值类型的存在，对投资价值也有了一定的描述，但基本处于原则性介绍层面，尚没有较为详尽的评估准则或操作指南、细则等，客观上造成了执行投资价值评估时无据可循。伴随着国内资本市场的发展日益成熟，以及市场价值评估所积累的丰富评估经验，使得我们有需求、有条件、也有能力从对投资价值的理论研究走向实务操作。</w:t>
      </w:r>
    </w:p>
    <w:p>
      <w:pPr>
        <w:adjustRightInd w:val="0"/>
        <w:snapToGrid w:val="0"/>
        <w:spacing w:line="360" w:lineRule="auto"/>
        <w:ind w:firstLine="640" w:firstLineChars="200"/>
        <w:rPr>
          <w:rFonts w:ascii="仿宋_GB2312" w:hAnsi="宋体" w:eastAsia="仿宋_GB2312"/>
          <w:b/>
          <w:bCs/>
          <w:sz w:val="32"/>
          <w:szCs w:val="32"/>
        </w:rPr>
      </w:pPr>
      <w:r>
        <w:rPr>
          <w:rFonts w:hint="eastAsia" w:ascii="仿宋_GB2312" w:hAnsi="宋体" w:eastAsia="仿宋_GB2312"/>
          <w:b/>
          <w:bCs/>
          <w:sz w:val="32"/>
          <w:szCs w:val="32"/>
        </w:rPr>
        <w:t>二、国内外相关规范情况分析</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国外的商业并购中出于价值发现与价值再造的并购目的，大部分情况下投资人会有投资价值估值的需求，在《国际评估准则》、英国《RICS评估准则》等中均有对投资价值的定义，但都尚未有专门对于投资价值在假设、方法、披露和结论等方面规范性的内容。</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国内关于投资价值的研究和应用总体上较之国外要有限和滞后。目前的企业国有资产评估项目和资本市场资产评估项目，特别是涉及产权管理领域中的评估项目中采用投资价值类型的尚不多见，一般都还是选择市场价值类型。在部分特殊情形下，例如近年来在海外实施的一些战略并购项目中，企业需要从投资咨询角度出发，寻找和分析并购活动对并购对象的投资价值，开始了对投资价值估值的实践与探索。</w:t>
      </w:r>
    </w:p>
    <w:p>
      <w:pPr>
        <w:adjustRightInd w:val="0"/>
        <w:snapToGrid w:val="0"/>
        <w:spacing w:line="360" w:lineRule="auto"/>
        <w:ind w:firstLine="640" w:firstLineChars="200"/>
        <w:rPr>
          <w:rFonts w:ascii="仿宋_GB2312" w:hAnsi="宋体" w:eastAsia="仿宋_GB2312"/>
          <w:b/>
          <w:bCs/>
          <w:sz w:val="32"/>
          <w:szCs w:val="32"/>
        </w:rPr>
      </w:pPr>
      <w:r>
        <w:rPr>
          <w:rFonts w:hint="eastAsia" w:ascii="仿宋_GB2312" w:hAnsi="宋体" w:eastAsia="仿宋_GB2312"/>
          <w:b/>
          <w:bCs/>
          <w:sz w:val="32"/>
          <w:szCs w:val="32"/>
        </w:rPr>
        <w:t>三、起草指导思想</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《专家提示》在起草过程中，遵循了以下指导思想：</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（一）准确定位</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专家提示》是为了适应国内外资本市场战略并购的新形势与业务发展需要而制定的。在《专家提示》制定过程中，在基本概念、基本术语上与基本准则保持一致，并注重与相关法律法规、资产评估相关准则的相互衔接。但本专家提示是一种专家意见，并非评估准则或对评估准则的补充或修正，仅建议执行以并购为目的的投资价值评估业务时参考使用，故在用词上较多使用“指导”、“可以”和“建议”等字样。</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（二）突出专业性与特殊性</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专家提示》力求充分体现投资价值评估的特点，强调并购当中投资价值评估的专业性与特殊性，对于与市场价值相同的操作部分，因《资产评估准则——企业价值》中已有详尽表述，本次相对简化不再重复。在体例上不再分章表述。</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（三）突出指导性和可操作性</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并购中的投资价值评估是随着市场化商业并购应运而生的，在目前的评估准则体系中尚未制定与其直接相关的准则、指南或指导意见。因此，《专家提示》充分考虑相关各方的需求，既强调指导性，对执业人员工作中关注的重点方面加以指导，又注重实务操作性，为各类委托方能更加认可和有效的使用投资价值评估报告和评估结论提供依据。</w:t>
      </w:r>
    </w:p>
    <w:p>
      <w:pPr>
        <w:adjustRightInd w:val="0"/>
        <w:snapToGrid w:val="0"/>
        <w:spacing w:line="360" w:lineRule="auto"/>
        <w:ind w:firstLine="640" w:firstLineChars="200"/>
        <w:rPr>
          <w:rFonts w:ascii="仿宋_GB2312" w:hAnsi="宋体" w:eastAsia="仿宋_GB2312"/>
          <w:b/>
          <w:bCs/>
          <w:sz w:val="32"/>
          <w:szCs w:val="32"/>
        </w:rPr>
      </w:pPr>
      <w:r>
        <w:rPr>
          <w:rFonts w:hint="eastAsia" w:ascii="仿宋_GB2312" w:hAnsi="宋体" w:eastAsia="仿宋_GB2312"/>
          <w:b/>
          <w:bCs/>
          <w:sz w:val="32"/>
          <w:szCs w:val="32"/>
        </w:rPr>
        <w:t>四、起草过程</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2013年5月，中评协成立项目组。项目组广泛搜集了相关法律法规、评估准则及相关理论研究成果，重点分析典型的并购案例，对并购目的、并购方案、整合方案等系列问题、过程进行了深入研究，总结在并购中投资价值评估实践经验形成草稿。之后征求相关专家的意见，在融合各方意见的基础上，并经过多次讨论修改，形成本征求意见稿。</w:t>
      </w:r>
    </w:p>
    <w:p>
      <w:pPr>
        <w:adjustRightInd w:val="0"/>
        <w:snapToGrid w:val="0"/>
        <w:spacing w:line="360" w:lineRule="auto"/>
        <w:ind w:firstLine="640" w:firstLineChars="200"/>
        <w:rPr>
          <w:rFonts w:ascii="仿宋_GB2312" w:hAnsi="宋体" w:eastAsia="仿宋_GB2312"/>
          <w:b/>
          <w:bCs/>
          <w:sz w:val="32"/>
          <w:szCs w:val="32"/>
        </w:rPr>
      </w:pPr>
      <w:r>
        <w:rPr>
          <w:rFonts w:hint="eastAsia" w:ascii="仿宋_GB2312" w:hAnsi="宋体" w:eastAsia="仿宋_GB2312"/>
          <w:b/>
          <w:bCs/>
          <w:sz w:val="32"/>
          <w:szCs w:val="32"/>
        </w:rPr>
        <w:t>五、起草中的主要意见和专家意见中的解决方式</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（一）适用范围比较全面</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本次《专家提示》最终将并购的适用范围对象定义为基于并购目的的评估业务，即是广义的并购，可以包含全部或部分股权，也可以包括以非同比例增资形式获得目标企业股权的形式，此外，还包括收购业务和有独立盈利能力的资产及资产组合等。这样基本涵盖了企业商业并购的绝大部分形式，比较全面。</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（二）评估的结论是针对特定投资者或某一类投资者的</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在商业并购中，不同的投资者会对同一个评估对象形成不同的协同效应，所以也会形成不同的评估结论，为防止报告结论被误用，所以《专家提示》明确了承接以并购为目的的投资价值评估业务时，应当事前明确潜在的并购方及被并购对象，投资价值评估的结论是针对特定投资者或某一类投资者的，不适用于其他投资者。</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（三）关于投资价值的评估方法</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基于对未来预计产生的协同效应的价值量化，收益法、市场法是比较适用的，在对并购预计能产生的协同效应的价值量化时，成本法显得不是很适合，但成本法作为一种基本的评估方法，在特殊情况下还有使用的情形，故本次并未将成本法排除在投资价值的评估方法之外。</w:t>
      </w:r>
    </w:p>
    <w:p>
      <w:pPr>
        <w:adjustRightInd w:val="0"/>
        <w:snapToGrid w:val="0"/>
        <w:spacing w:line="360" w:lineRule="auto"/>
        <w:ind w:firstLine="640" w:firstLineChars="200"/>
        <w:rPr>
          <w:rFonts w:ascii="仿宋_GB2312" w:hAnsi="宋体" w:eastAsia="仿宋_GB2312"/>
          <w:b/>
          <w:bCs/>
          <w:sz w:val="32"/>
          <w:szCs w:val="32"/>
        </w:rPr>
      </w:pPr>
      <w:r>
        <w:rPr>
          <w:rFonts w:hint="eastAsia" w:ascii="仿宋_GB2312" w:hAnsi="宋体" w:eastAsia="仿宋_GB2312"/>
          <w:b/>
          <w:bCs/>
          <w:sz w:val="32"/>
          <w:szCs w:val="32"/>
        </w:rPr>
        <w:t>六、需要重点关注或提出意见的内容</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（一）投资价值评估的核心是协同效应的合理量化</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在《专家提示》中，重点提示了协同效应的分析判断、操作途径以及注意事项。建议执行以并购为目的的投资价值时，在充分了解并购行为各方信息后，着重分析各种协同效应产生的可能性和协同效应的表现形式。</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（二）与市场价值的衔接</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基于前期的多方调研和沟通，较多报告使用者希望能在获得投资价值的同时了解市场价值的结果，以利于合理确定谈判区间。为增加投资价值报告的实用性，《专家提示》提出在执行以并购为目的的投资价值评估业务时，应与委托方约定，是否需要获取评估对象的市场价值，并在报告中披露市场价值评估结论及其来源，以及影响市场价值结论的重大假设条件和特殊事项，在报告中同时披露市场价值和投资价值，并分析差异存在的主要方面及其合理性。</w:t>
      </w:r>
    </w:p>
    <w:p>
      <w:pPr>
        <w:adjustRightInd w:val="0"/>
        <w:snapToGrid w:val="0"/>
        <w:spacing w:line="360" w:lineRule="auto"/>
        <w:ind w:firstLine="640" w:firstLineChars="200"/>
        <w:rPr>
          <w:rFonts w:ascii="仿宋_GB2312" w:hAnsi="宋体" w:eastAsia="仿宋_GB2312"/>
          <w:b/>
          <w:bCs/>
          <w:sz w:val="32"/>
          <w:szCs w:val="32"/>
        </w:rPr>
      </w:pPr>
      <w:r>
        <w:rPr>
          <w:rFonts w:hint="eastAsia" w:ascii="仿宋_GB2312" w:hAnsi="宋体" w:eastAsia="仿宋_GB2312"/>
          <w:b/>
          <w:bCs/>
          <w:sz w:val="32"/>
          <w:szCs w:val="32"/>
        </w:rPr>
        <w:t>七、专家意见的主要创新和重要内容介绍</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（一）评估结论表达方式</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在评估结论的表达方式上，站在委托方立场上，为了让评估报告结论更加有参考意义，采用多种表达方式：</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1.评估结论可以根据不同的并购方案分别来逐一对应披露；</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2.评估结论可以根据与委托方的约定同时列示市场价值和投资价值。</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（二）敏感性分析</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投资价值评估在评估程序、资料取得、分析判断上可能与正常的市场价值评估存在较大区别，很大程度上基于主观的分析和判断。所以在有些情况下，会存在较多的不确定性因素。但是委托方在商务谈判时，这些不确定因素必须进行必要量化后才能进行合理报价，所以专家提示专门提出了建议进行敏感性分析。</w:t>
      </w:r>
    </w:p>
    <w:p>
      <w:pPr>
        <w:adjustRightInd w:val="0"/>
        <w:snapToGrid w:val="0"/>
        <w:ind w:firstLine="570"/>
        <w:rPr>
          <w:rFonts w:ascii="仿宋_GB2312" w:hAnsi="宋体" w:eastAsia="仿宋_GB2312"/>
          <w:sz w:val="32"/>
          <w:szCs w:val="32"/>
        </w:rPr>
      </w:pPr>
    </w:p>
    <w:p>
      <w:pPr>
        <w:adjustRightInd w:val="0"/>
        <w:snapToGrid w:val="0"/>
        <w:ind w:firstLine="640" w:firstLineChars="200"/>
        <w:rPr>
          <w:rFonts w:ascii="仿宋_GB2312" w:hAnsi="宋体" w:eastAsia="仿宋_GB2312"/>
          <w:sz w:val="32"/>
          <w:szCs w:val="32"/>
        </w:rPr>
      </w:pPr>
    </w:p>
    <w:p>
      <w:pPr>
        <w:adjustRightInd w:val="0"/>
        <w:snapToGrid w:val="0"/>
        <w:ind w:firstLine="640" w:firstLineChars="200"/>
        <w:rPr>
          <w:rFonts w:ascii="仿宋_GB2312" w:hAnsi="宋体" w:eastAsia="仿宋_GB2312"/>
          <w:sz w:val="32"/>
          <w:szCs w:val="32"/>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bookmarkStart w:id="0" w:name="_GoBack"/>
    <w:bookmarkEnd w:id="0"/>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48E1"/>
    <w:rsid w:val="000005CE"/>
    <w:rsid w:val="00000977"/>
    <w:rsid w:val="00001584"/>
    <w:rsid w:val="000045CF"/>
    <w:rsid w:val="0001076A"/>
    <w:rsid w:val="00011A2E"/>
    <w:rsid w:val="00012482"/>
    <w:rsid w:val="000143EB"/>
    <w:rsid w:val="00015989"/>
    <w:rsid w:val="00015C2E"/>
    <w:rsid w:val="0001680F"/>
    <w:rsid w:val="000202D1"/>
    <w:rsid w:val="0002062D"/>
    <w:rsid w:val="000231A1"/>
    <w:rsid w:val="0002430B"/>
    <w:rsid w:val="00024CD0"/>
    <w:rsid w:val="00030CC4"/>
    <w:rsid w:val="00030FC4"/>
    <w:rsid w:val="00031A12"/>
    <w:rsid w:val="000322D7"/>
    <w:rsid w:val="000358FA"/>
    <w:rsid w:val="00035DD9"/>
    <w:rsid w:val="00036024"/>
    <w:rsid w:val="0003630C"/>
    <w:rsid w:val="00037A1A"/>
    <w:rsid w:val="0004511D"/>
    <w:rsid w:val="00046186"/>
    <w:rsid w:val="00050BE5"/>
    <w:rsid w:val="000515A0"/>
    <w:rsid w:val="00053046"/>
    <w:rsid w:val="00054ADD"/>
    <w:rsid w:val="00056447"/>
    <w:rsid w:val="00057B9E"/>
    <w:rsid w:val="000600FC"/>
    <w:rsid w:val="00060BBA"/>
    <w:rsid w:val="00061622"/>
    <w:rsid w:val="00061A30"/>
    <w:rsid w:val="00066D4F"/>
    <w:rsid w:val="00071D76"/>
    <w:rsid w:val="00074DF2"/>
    <w:rsid w:val="00076D3A"/>
    <w:rsid w:val="000800AC"/>
    <w:rsid w:val="00080842"/>
    <w:rsid w:val="00081893"/>
    <w:rsid w:val="00083CFE"/>
    <w:rsid w:val="00084E3C"/>
    <w:rsid w:val="000850C9"/>
    <w:rsid w:val="00087503"/>
    <w:rsid w:val="000957CB"/>
    <w:rsid w:val="000A0DBC"/>
    <w:rsid w:val="000A284F"/>
    <w:rsid w:val="000A6448"/>
    <w:rsid w:val="000A6950"/>
    <w:rsid w:val="000B1F3A"/>
    <w:rsid w:val="000B4BE1"/>
    <w:rsid w:val="000B6911"/>
    <w:rsid w:val="000C0277"/>
    <w:rsid w:val="000D0DF3"/>
    <w:rsid w:val="000D3F17"/>
    <w:rsid w:val="000D5BEF"/>
    <w:rsid w:val="000D7F99"/>
    <w:rsid w:val="000E1DD6"/>
    <w:rsid w:val="000E2659"/>
    <w:rsid w:val="000E39A2"/>
    <w:rsid w:val="000E6432"/>
    <w:rsid w:val="000E7746"/>
    <w:rsid w:val="000F586E"/>
    <w:rsid w:val="00104EE2"/>
    <w:rsid w:val="00110B4D"/>
    <w:rsid w:val="001165C8"/>
    <w:rsid w:val="00122538"/>
    <w:rsid w:val="00123B56"/>
    <w:rsid w:val="00123E0A"/>
    <w:rsid w:val="00125473"/>
    <w:rsid w:val="001316AA"/>
    <w:rsid w:val="00134D6F"/>
    <w:rsid w:val="0014057C"/>
    <w:rsid w:val="0014096C"/>
    <w:rsid w:val="00141754"/>
    <w:rsid w:val="00145419"/>
    <w:rsid w:val="0015132D"/>
    <w:rsid w:val="00152040"/>
    <w:rsid w:val="001530C4"/>
    <w:rsid w:val="00153424"/>
    <w:rsid w:val="00154DB7"/>
    <w:rsid w:val="00155462"/>
    <w:rsid w:val="00155CFD"/>
    <w:rsid w:val="00160B46"/>
    <w:rsid w:val="00160F49"/>
    <w:rsid w:val="00162B69"/>
    <w:rsid w:val="00164000"/>
    <w:rsid w:val="001654C9"/>
    <w:rsid w:val="0016674D"/>
    <w:rsid w:val="001677A5"/>
    <w:rsid w:val="00167E6E"/>
    <w:rsid w:val="0017190C"/>
    <w:rsid w:val="00172B0F"/>
    <w:rsid w:val="00173FC5"/>
    <w:rsid w:val="00176F0F"/>
    <w:rsid w:val="00187B26"/>
    <w:rsid w:val="001905CD"/>
    <w:rsid w:val="00193D9E"/>
    <w:rsid w:val="00194B88"/>
    <w:rsid w:val="00196CAD"/>
    <w:rsid w:val="00196F21"/>
    <w:rsid w:val="001A107F"/>
    <w:rsid w:val="001A26FC"/>
    <w:rsid w:val="001A39AB"/>
    <w:rsid w:val="001A428E"/>
    <w:rsid w:val="001A4670"/>
    <w:rsid w:val="001A5F40"/>
    <w:rsid w:val="001A62CF"/>
    <w:rsid w:val="001A7FEE"/>
    <w:rsid w:val="001B1049"/>
    <w:rsid w:val="001B64FA"/>
    <w:rsid w:val="001B7938"/>
    <w:rsid w:val="001C0FE9"/>
    <w:rsid w:val="001C2D2B"/>
    <w:rsid w:val="001C5658"/>
    <w:rsid w:val="001C6147"/>
    <w:rsid w:val="001C63A5"/>
    <w:rsid w:val="001D2905"/>
    <w:rsid w:val="001D5813"/>
    <w:rsid w:val="001D59C5"/>
    <w:rsid w:val="001D772A"/>
    <w:rsid w:val="001E0DBB"/>
    <w:rsid w:val="001F0CC0"/>
    <w:rsid w:val="001F164C"/>
    <w:rsid w:val="001F3026"/>
    <w:rsid w:val="00204885"/>
    <w:rsid w:val="00205660"/>
    <w:rsid w:val="002063E0"/>
    <w:rsid w:val="002068DC"/>
    <w:rsid w:val="00206C52"/>
    <w:rsid w:val="00210211"/>
    <w:rsid w:val="00213EF8"/>
    <w:rsid w:val="00214072"/>
    <w:rsid w:val="00217D56"/>
    <w:rsid w:val="00217EBD"/>
    <w:rsid w:val="002225A8"/>
    <w:rsid w:val="00223095"/>
    <w:rsid w:val="00226E1A"/>
    <w:rsid w:val="00230C22"/>
    <w:rsid w:val="00232D24"/>
    <w:rsid w:val="00235945"/>
    <w:rsid w:val="002364E7"/>
    <w:rsid w:val="002365F9"/>
    <w:rsid w:val="002434C6"/>
    <w:rsid w:val="00247904"/>
    <w:rsid w:val="00251F6C"/>
    <w:rsid w:val="00254425"/>
    <w:rsid w:val="00255E34"/>
    <w:rsid w:val="00256F0F"/>
    <w:rsid w:val="0025716F"/>
    <w:rsid w:val="00257813"/>
    <w:rsid w:val="002627D6"/>
    <w:rsid w:val="00263931"/>
    <w:rsid w:val="0027373D"/>
    <w:rsid w:val="0027629F"/>
    <w:rsid w:val="00276BD8"/>
    <w:rsid w:val="00276BE4"/>
    <w:rsid w:val="002777E1"/>
    <w:rsid w:val="00282F3F"/>
    <w:rsid w:val="00285B94"/>
    <w:rsid w:val="002862D0"/>
    <w:rsid w:val="002875D8"/>
    <w:rsid w:val="00287A1D"/>
    <w:rsid w:val="00295868"/>
    <w:rsid w:val="002A3CB7"/>
    <w:rsid w:val="002A69D6"/>
    <w:rsid w:val="002B34FB"/>
    <w:rsid w:val="002B351B"/>
    <w:rsid w:val="002B45C1"/>
    <w:rsid w:val="002C038C"/>
    <w:rsid w:val="002C29DE"/>
    <w:rsid w:val="002C3676"/>
    <w:rsid w:val="002C458B"/>
    <w:rsid w:val="002C4C62"/>
    <w:rsid w:val="002C51D0"/>
    <w:rsid w:val="002C594E"/>
    <w:rsid w:val="002D00B2"/>
    <w:rsid w:val="002E071C"/>
    <w:rsid w:val="002E0E1F"/>
    <w:rsid w:val="002E6C59"/>
    <w:rsid w:val="002F3E56"/>
    <w:rsid w:val="002F50AA"/>
    <w:rsid w:val="003017E0"/>
    <w:rsid w:val="003025B2"/>
    <w:rsid w:val="003041FB"/>
    <w:rsid w:val="00305640"/>
    <w:rsid w:val="00306D6D"/>
    <w:rsid w:val="003115CE"/>
    <w:rsid w:val="0031313F"/>
    <w:rsid w:val="00313BE7"/>
    <w:rsid w:val="00314D2F"/>
    <w:rsid w:val="00324788"/>
    <w:rsid w:val="00325506"/>
    <w:rsid w:val="00325FA0"/>
    <w:rsid w:val="00326830"/>
    <w:rsid w:val="0033002E"/>
    <w:rsid w:val="00330DCD"/>
    <w:rsid w:val="00331784"/>
    <w:rsid w:val="00331BFB"/>
    <w:rsid w:val="003349AD"/>
    <w:rsid w:val="00335D1C"/>
    <w:rsid w:val="00342534"/>
    <w:rsid w:val="00345C38"/>
    <w:rsid w:val="00347524"/>
    <w:rsid w:val="00347EEE"/>
    <w:rsid w:val="0035099D"/>
    <w:rsid w:val="00352D24"/>
    <w:rsid w:val="00355B10"/>
    <w:rsid w:val="00357C35"/>
    <w:rsid w:val="0036563E"/>
    <w:rsid w:val="0036608E"/>
    <w:rsid w:val="0036684F"/>
    <w:rsid w:val="003723CA"/>
    <w:rsid w:val="0038102B"/>
    <w:rsid w:val="0038135D"/>
    <w:rsid w:val="0038147F"/>
    <w:rsid w:val="003A46E3"/>
    <w:rsid w:val="003A4F33"/>
    <w:rsid w:val="003A71E4"/>
    <w:rsid w:val="003A7FAC"/>
    <w:rsid w:val="003B05B8"/>
    <w:rsid w:val="003B4713"/>
    <w:rsid w:val="003B6795"/>
    <w:rsid w:val="003C018D"/>
    <w:rsid w:val="003C4A05"/>
    <w:rsid w:val="003D0221"/>
    <w:rsid w:val="003D032A"/>
    <w:rsid w:val="003D3B80"/>
    <w:rsid w:val="003D4444"/>
    <w:rsid w:val="003E5D28"/>
    <w:rsid w:val="003E61BD"/>
    <w:rsid w:val="003E7ACC"/>
    <w:rsid w:val="003E7D6E"/>
    <w:rsid w:val="00401770"/>
    <w:rsid w:val="00403241"/>
    <w:rsid w:val="00403EC2"/>
    <w:rsid w:val="004045E8"/>
    <w:rsid w:val="004067E4"/>
    <w:rsid w:val="004128A7"/>
    <w:rsid w:val="004133D4"/>
    <w:rsid w:val="00413541"/>
    <w:rsid w:val="00414D4B"/>
    <w:rsid w:val="00414EBE"/>
    <w:rsid w:val="00415C10"/>
    <w:rsid w:val="00416F6D"/>
    <w:rsid w:val="004176F0"/>
    <w:rsid w:val="00421FB2"/>
    <w:rsid w:val="00423A5D"/>
    <w:rsid w:val="00436602"/>
    <w:rsid w:val="00445D64"/>
    <w:rsid w:val="004528CD"/>
    <w:rsid w:val="00452AC0"/>
    <w:rsid w:val="00452F7F"/>
    <w:rsid w:val="00454C5D"/>
    <w:rsid w:val="00462717"/>
    <w:rsid w:val="00462DE4"/>
    <w:rsid w:val="00463AAF"/>
    <w:rsid w:val="00463C18"/>
    <w:rsid w:val="00467FBE"/>
    <w:rsid w:val="00474555"/>
    <w:rsid w:val="00474829"/>
    <w:rsid w:val="004748F5"/>
    <w:rsid w:val="00474FC7"/>
    <w:rsid w:val="00477499"/>
    <w:rsid w:val="00477945"/>
    <w:rsid w:val="0048102D"/>
    <w:rsid w:val="00481911"/>
    <w:rsid w:val="00482C8D"/>
    <w:rsid w:val="0049067B"/>
    <w:rsid w:val="004931DB"/>
    <w:rsid w:val="004940D1"/>
    <w:rsid w:val="004A312D"/>
    <w:rsid w:val="004A4B21"/>
    <w:rsid w:val="004A57E9"/>
    <w:rsid w:val="004A6D53"/>
    <w:rsid w:val="004B5393"/>
    <w:rsid w:val="004B75E3"/>
    <w:rsid w:val="004C1126"/>
    <w:rsid w:val="004C30F5"/>
    <w:rsid w:val="004C58E7"/>
    <w:rsid w:val="004C5CFE"/>
    <w:rsid w:val="004C7F2E"/>
    <w:rsid w:val="004D3EB7"/>
    <w:rsid w:val="004D6EBE"/>
    <w:rsid w:val="004E08E3"/>
    <w:rsid w:val="004E181B"/>
    <w:rsid w:val="004E236A"/>
    <w:rsid w:val="004E2935"/>
    <w:rsid w:val="004E5AEF"/>
    <w:rsid w:val="004E5FB7"/>
    <w:rsid w:val="005002DD"/>
    <w:rsid w:val="00500546"/>
    <w:rsid w:val="00501978"/>
    <w:rsid w:val="0050222E"/>
    <w:rsid w:val="00502F30"/>
    <w:rsid w:val="005039C6"/>
    <w:rsid w:val="00503BD9"/>
    <w:rsid w:val="00504D9A"/>
    <w:rsid w:val="00505414"/>
    <w:rsid w:val="00507622"/>
    <w:rsid w:val="00512218"/>
    <w:rsid w:val="005126FD"/>
    <w:rsid w:val="00513605"/>
    <w:rsid w:val="00523CB1"/>
    <w:rsid w:val="00524835"/>
    <w:rsid w:val="00525E5F"/>
    <w:rsid w:val="00526EF6"/>
    <w:rsid w:val="00535949"/>
    <w:rsid w:val="005372D0"/>
    <w:rsid w:val="00537503"/>
    <w:rsid w:val="00540DFC"/>
    <w:rsid w:val="0054369B"/>
    <w:rsid w:val="00543E5A"/>
    <w:rsid w:val="00546428"/>
    <w:rsid w:val="00551F0E"/>
    <w:rsid w:val="005552AF"/>
    <w:rsid w:val="0055624A"/>
    <w:rsid w:val="00557BA6"/>
    <w:rsid w:val="005606D2"/>
    <w:rsid w:val="00566137"/>
    <w:rsid w:val="0057120E"/>
    <w:rsid w:val="00571385"/>
    <w:rsid w:val="00571B6E"/>
    <w:rsid w:val="00571FB5"/>
    <w:rsid w:val="00572469"/>
    <w:rsid w:val="00574CA0"/>
    <w:rsid w:val="00575C9A"/>
    <w:rsid w:val="00577310"/>
    <w:rsid w:val="00577E21"/>
    <w:rsid w:val="00581ACF"/>
    <w:rsid w:val="00583959"/>
    <w:rsid w:val="00596122"/>
    <w:rsid w:val="005962D9"/>
    <w:rsid w:val="005968EC"/>
    <w:rsid w:val="005A01C2"/>
    <w:rsid w:val="005A3FE9"/>
    <w:rsid w:val="005A48B9"/>
    <w:rsid w:val="005A5E29"/>
    <w:rsid w:val="005A621E"/>
    <w:rsid w:val="005A6FE6"/>
    <w:rsid w:val="005B7C7C"/>
    <w:rsid w:val="005B7DC9"/>
    <w:rsid w:val="005C356C"/>
    <w:rsid w:val="005C6390"/>
    <w:rsid w:val="005D302D"/>
    <w:rsid w:val="005D538B"/>
    <w:rsid w:val="005D75E4"/>
    <w:rsid w:val="005D7C97"/>
    <w:rsid w:val="005E0DC9"/>
    <w:rsid w:val="005E201D"/>
    <w:rsid w:val="005E3E97"/>
    <w:rsid w:val="005E48C7"/>
    <w:rsid w:val="005E5318"/>
    <w:rsid w:val="005F3D69"/>
    <w:rsid w:val="005F4BBE"/>
    <w:rsid w:val="005F68F9"/>
    <w:rsid w:val="006005E4"/>
    <w:rsid w:val="00602C8D"/>
    <w:rsid w:val="006050C5"/>
    <w:rsid w:val="0060512F"/>
    <w:rsid w:val="00605A4B"/>
    <w:rsid w:val="00606451"/>
    <w:rsid w:val="006065F2"/>
    <w:rsid w:val="0061220A"/>
    <w:rsid w:val="00612EA7"/>
    <w:rsid w:val="0061325D"/>
    <w:rsid w:val="00614011"/>
    <w:rsid w:val="006267C0"/>
    <w:rsid w:val="00627993"/>
    <w:rsid w:val="00636BC2"/>
    <w:rsid w:val="00642FE0"/>
    <w:rsid w:val="00644754"/>
    <w:rsid w:val="0064525E"/>
    <w:rsid w:val="00645DB9"/>
    <w:rsid w:val="00646E8D"/>
    <w:rsid w:val="00647FA2"/>
    <w:rsid w:val="00650A19"/>
    <w:rsid w:val="006512A0"/>
    <w:rsid w:val="006534C8"/>
    <w:rsid w:val="0065439F"/>
    <w:rsid w:val="006603A6"/>
    <w:rsid w:val="00660DB2"/>
    <w:rsid w:val="00661ADC"/>
    <w:rsid w:val="00664203"/>
    <w:rsid w:val="0066667E"/>
    <w:rsid w:val="00670AF5"/>
    <w:rsid w:val="00671302"/>
    <w:rsid w:val="00672136"/>
    <w:rsid w:val="00680085"/>
    <w:rsid w:val="006800D9"/>
    <w:rsid w:val="006804F9"/>
    <w:rsid w:val="00681D56"/>
    <w:rsid w:val="006820BB"/>
    <w:rsid w:val="00682598"/>
    <w:rsid w:val="00682C23"/>
    <w:rsid w:val="00683BFF"/>
    <w:rsid w:val="00687A7A"/>
    <w:rsid w:val="00687E25"/>
    <w:rsid w:val="00687EBC"/>
    <w:rsid w:val="00691B93"/>
    <w:rsid w:val="006929E9"/>
    <w:rsid w:val="00693171"/>
    <w:rsid w:val="00697FB4"/>
    <w:rsid w:val="006A107C"/>
    <w:rsid w:val="006A160E"/>
    <w:rsid w:val="006A25E4"/>
    <w:rsid w:val="006A2F33"/>
    <w:rsid w:val="006A3C14"/>
    <w:rsid w:val="006A4129"/>
    <w:rsid w:val="006A5090"/>
    <w:rsid w:val="006B27DA"/>
    <w:rsid w:val="006B31F1"/>
    <w:rsid w:val="006B3D52"/>
    <w:rsid w:val="006B4904"/>
    <w:rsid w:val="006C0EE5"/>
    <w:rsid w:val="006C26DE"/>
    <w:rsid w:val="006C30A1"/>
    <w:rsid w:val="006C5610"/>
    <w:rsid w:val="006D52EF"/>
    <w:rsid w:val="006D64FC"/>
    <w:rsid w:val="006D7D48"/>
    <w:rsid w:val="006E4646"/>
    <w:rsid w:val="006E521B"/>
    <w:rsid w:val="006E73FF"/>
    <w:rsid w:val="006F2342"/>
    <w:rsid w:val="006F23F8"/>
    <w:rsid w:val="006F43AD"/>
    <w:rsid w:val="006F4A4A"/>
    <w:rsid w:val="007003D2"/>
    <w:rsid w:val="00700CEF"/>
    <w:rsid w:val="0070100A"/>
    <w:rsid w:val="00701E10"/>
    <w:rsid w:val="00701F06"/>
    <w:rsid w:val="007103E8"/>
    <w:rsid w:val="0071197F"/>
    <w:rsid w:val="00712CFC"/>
    <w:rsid w:val="00714A8B"/>
    <w:rsid w:val="00714C6A"/>
    <w:rsid w:val="00716176"/>
    <w:rsid w:val="0071729C"/>
    <w:rsid w:val="007214C1"/>
    <w:rsid w:val="00722655"/>
    <w:rsid w:val="00723065"/>
    <w:rsid w:val="00723679"/>
    <w:rsid w:val="00724183"/>
    <w:rsid w:val="00724928"/>
    <w:rsid w:val="00724D4D"/>
    <w:rsid w:val="00730071"/>
    <w:rsid w:val="00735000"/>
    <w:rsid w:val="007352DC"/>
    <w:rsid w:val="007372CA"/>
    <w:rsid w:val="00737C70"/>
    <w:rsid w:val="0074112D"/>
    <w:rsid w:val="0074129A"/>
    <w:rsid w:val="007468EE"/>
    <w:rsid w:val="007473EB"/>
    <w:rsid w:val="007563B5"/>
    <w:rsid w:val="007569E1"/>
    <w:rsid w:val="00756D32"/>
    <w:rsid w:val="0076138B"/>
    <w:rsid w:val="00763E15"/>
    <w:rsid w:val="00771A8F"/>
    <w:rsid w:val="007756CF"/>
    <w:rsid w:val="00781010"/>
    <w:rsid w:val="00781A14"/>
    <w:rsid w:val="00781C2E"/>
    <w:rsid w:val="00782B7B"/>
    <w:rsid w:val="00784449"/>
    <w:rsid w:val="0078566D"/>
    <w:rsid w:val="00785EC7"/>
    <w:rsid w:val="00786706"/>
    <w:rsid w:val="007879AA"/>
    <w:rsid w:val="00791225"/>
    <w:rsid w:val="00791D9D"/>
    <w:rsid w:val="00792BA0"/>
    <w:rsid w:val="00795850"/>
    <w:rsid w:val="007963F3"/>
    <w:rsid w:val="00796890"/>
    <w:rsid w:val="00797AD8"/>
    <w:rsid w:val="007A13DF"/>
    <w:rsid w:val="007A6D9E"/>
    <w:rsid w:val="007A7E17"/>
    <w:rsid w:val="007B5F85"/>
    <w:rsid w:val="007B62D9"/>
    <w:rsid w:val="007C3391"/>
    <w:rsid w:val="007C6420"/>
    <w:rsid w:val="007D1843"/>
    <w:rsid w:val="007D2EA3"/>
    <w:rsid w:val="007D361F"/>
    <w:rsid w:val="007D365A"/>
    <w:rsid w:val="007D5008"/>
    <w:rsid w:val="007D53B0"/>
    <w:rsid w:val="007E42EA"/>
    <w:rsid w:val="007E56B6"/>
    <w:rsid w:val="007E5BB0"/>
    <w:rsid w:val="007F2210"/>
    <w:rsid w:val="007F3FDB"/>
    <w:rsid w:val="007F523A"/>
    <w:rsid w:val="007F6FB2"/>
    <w:rsid w:val="00800531"/>
    <w:rsid w:val="00801315"/>
    <w:rsid w:val="00801703"/>
    <w:rsid w:val="00811221"/>
    <w:rsid w:val="00811CC7"/>
    <w:rsid w:val="00812346"/>
    <w:rsid w:val="00813DC3"/>
    <w:rsid w:val="00815782"/>
    <w:rsid w:val="008223C2"/>
    <w:rsid w:val="0082388F"/>
    <w:rsid w:val="00824E05"/>
    <w:rsid w:val="00827138"/>
    <w:rsid w:val="00827438"/>
    <w:rsid w:val="00830B8B"/>
    <w:rsid w:val="00830E34"/>
    <w:rsid w:val="00832CB6"/>
    <w:rsid w:val="00834695"/>
    <w:rsid w:val="00843F6C"/>
    <w:rsid w:val="008618F5"/>
    <w:rsid w:val="00862CAA"/>
    <w:rsid w:val="00866986"/>
    <w:rsid w:val="00876335"/>
    <w:rsid w:val="008778AB"/>
    <w:rsid w:val="008815E3"/>
    <w:rsid w:val="00885231"/>
    <w:rsid w:val="008902AD"/>
    <w:rsid w:val="00891BEA"/>
    <w:rsid w:val="00891FD6"/>
    <w:rsid w:val="00892637"/>
    <w:rsid w:val="00893FF4"/>
    <w:rsid w:val="008A10AF"/>
    <w:rsid w:val="008A268C"/>
    <w:rsid w:val="008A66C0"/>
    <w:rsid w:val="008B3159"/>
    <w:rsid w:val="008B49AC"/>
    <w:rsid w:val="008B4A05"/>
    <w:rsid w:val="008C1E1D"/>
    <w:rsid w:val="008C3CA2"/>
    <w:rsid w:val="008C4087"/>
    <w:rsid w:val="008C4C37"/>
    <w:rsid w:val="008C5690"/>
    <w:rsid w:val="008C6DD7"/>
    <w:rsid w:val="008C7925"/>
    <w:rsid w:val="008D0335"/>
    <w:rsid w:val="008D2A86"/>
    <w:rsid w:val="008D5F5E"/>
    <w:rsid w:val="008D6033"/>
    <w:rsid w:val="008D7EF4"/>
    <w:rsid w:val="008E6304"/>
    <w:rsid w:val="00901533"/>
    <w:rsid w:val="009025DB"/>
    <w:rsid w:val="009042AF"/>
    <w:rsid w:val="009103E1"/>
    <w:rsid w:val="00910DED"/>
    <w:rsid w:val="009119D3"/>
    <w:rsid w:val="00912A97"/>
    <w:rsid w:val="00913270"/>
    <w:rsid w:val="00914298"/>
    <w:rsid w:val="00914602"/>
    <w:rsid w:val="00915E16"/>
    <w:rsid w:val="00916FAA"/>
    <w:rsid w:val="00917AEC"/>
    <w:rsid w:val="00921485"/>
    <w:rsid w:val="009227CC"/>
    <w:rsid w:val="009250AD"/>
    <w:rsid w:val="00930648"/>
    <w:rsid w:val="0093182E"/>
    <w:rsid w:val="009322C7"/>
    <w:rsid w:val="009357AE"/>
    <w:rsid w:val="00937E88"/>
    <w:rsid w:val="00943046"/>
    <w:rsid w:val="00946370"/>
    <w:rsid w:val="009468BD"/>
    <w:rsid w:val="0095198A"/>
    <w:rsid w:val="00953E77"/>
    <w:rsid w:val="00956A13"/>
    <w:rsid w:val="0095728D"/>
    <w:rsid w:val="00960C5C"/>
    <w:rsid w:val="009637FF"/>
    <w:rsid w:val="00971924"/>
    <w:rsid w:val="009723A3"/>
    <w:rsid w:val="009732E3"/>
    <w:rsid w:val="009755F9"/>
    <w:rsid w:val="00975632"/>
    <w:rsid w:val="009756FE"/>
    <w:rsid w:val="00982C16"/>
    <w:rsid w:val="009833C8"/>
    <w:rsid w:val="009834A3"/>
    <w:rsid w:val="00983694"/>
    <w:rsid w:val="009875C7"/>
    <w:rsid w:val="009901BD"/>
    <w:rsid w:val="00992911"/>
    <w:rsid w:val="00993EFC"/>
    <w:rsid w:val="00994F14"/>
    <w:rsid w:val="00997FC7"/>
    <w:rsid w:val="009A22F8"/>
    <w:rsid w:val="009A3F48"/>
    <w:rsid w:val="009A5735"/>
    <w:rsid w:val="009A5786"/>
    <w:rsid w:val="009B192F"/>
    <w:rsid w:val="009B1A84"/>
    <w:rsid w:val="009B2062"/>
    <w:rsid w:val="009B546B"/>
    <w:rsid w:val="009B5C69"/>
    <w:rsid w:val="009B5DC1"/>
    <w:rsid w:val="009C2D39"/>
    <w:rsid w:val="009C32D6"/>
    <w:rsid w:val="009C6664"/>
    <w:rsid w:val="009D0549"/>
    <w:rsid w:val="009D15FF"/>
    <w:rsid w:val="009D3A4B"/>
    <w:rsid w:val="009D5F83"/>
    <w:rsid w:val="009E06E3"/>
    <w:rsid w:val="009E39DC"/>
    <w:rsid w:val="009E4070"/>
    <w:rsid w:val="009E4A5A"/>
    <w:rsid w:val="009F113F"/>
    <w:rsid w:val="009F2CD3"/>
    <w:rsid w:val="009F3029"/>
    <w:rsid w:val="009F772B"/>
    <w:rsid w:val="00A00ACF"/>
    <w:rsid w:val="00A0107F"/>
    <w:rsid w:val="00A024D9"/>
    <w:rsid w:val="00A07293"/>
    <w:rsid w:val="00A1086C"/>
    <w:rsid w:val="00A124BB"/>
    <w:rsid w:val="00A1326B"/>
    <w:rsid w:val="00A13A30"/>
    <w:rsid w:val="00A142ED"/>
    <w:rsid w:val="00A15163"/>
    <w:rsid w:val="00A1563E"/>
    <w:rsid w:val="00A15D18"/>
    <w:rsid w:val="00A22728"/>
    <w:rsid w:val="00A23642"/>
    <w:rsid w:val="00A247D2"/>
    <w:rsid w:val="00A24ED9"/>
    <w:rsid w:val="00A255BE"/>
    <w:rsid w:val="00A25C1D"/>
    <w:rsid w:val="00A3110E"/>
    <w:rsid w:val="00A325E4"/>
    <w:rsid w:val="00A35F35"/>
    <w:rsid w:val="00A36C0F"/>
    <w:rsid w:val="00A3721F"/>
    <w:rsid w:val="00A4117F"/>
    <w:rsid w:val="00A41213"/>
    <w:rsid w:val="00A436DB"/>
    <w:rsid w:val="00A52157"/>
    <w:rsid w:val="00A534EC"/>
    <w:rsid w:val="00A53932"/>
    <w:rsid w:val="00A54249"/>
    <w:rsid w:val="00A56913"/>
    <w:rsid w:val="00A6288A"/>
    <w:rsid w:val="00A62D69"/>
    <w:rsid w:val="00A646F4"/>
    <w:rsid w:val="00A665EC"/>
    <w:rsid w:val="00A70999"/>
    <w:rsid w:val="00A710A7"/>
    <w:rsid w:val="00A74BF3"/>
    <w:rsid w:val="00A81AB3"/>
    <w:rsid w:val="00A878D4"/>
    <w:rsid w:val="00A900BF"/>
    <w:rsid w:val="00A97412"/>
    <w:rsid w:val="00AA0B15"/>
    <w:rsid w:val="00AA25D7"/>
    <w:rsid w:val="00AA34EF"/>
    <w:rsid w:val="00AB1645"/>
    <w:rsid w:val="00AB602D"/>
    <w:rsid w:val="00AB61AD"/>
    <w:rsid w:val="00AC05EF"/>
    <w:rsid w:val="00AC32A9"/>
    <w:rsid w:val="00AC44F8"/>
    <w:rsid w:val="00AC4794"/>
    <w:rsid w:val="00AC50D7"/>
    <w:rsid w:val="00AC720C"/>
    <w:rsid w:val="00AC7AE7"/>
    <w:rsid w:val="00AD11BE"/>
    <w:rsid w:val="00AD11E8"/>
    <w:rsid w:val="00AD4FE3"/>
    <w:rsid w:val="00AD50E6"/>
    <w:rsid w:val="00AE0C8E"/>
    <w:rsid w:val="00AE2867"/>
    <w:rsid w:val="00AE298D"/>
    <w:rsid w:val="00AE36BB"/>
    <w:rsid w:val="00AE3FBC"/>
    <w:rsid w:val="00AE5332"/>
    <w:rsid w:val="00AE7864"/>
    <w:rsid w:val="00AF0457"/>
    <w:rsid w:val="00AF1AD7"/>
    <w:rsid w:val="00AF2881"/>
    <w:rsid w:val="00AF3840"/>
    <w:rsid w:val="00AF54AA"/>
    <w:rsid w:val="00AF55C4"/>
    <w:rsid w:val="00AF66D9"/>
    <w:rsid w:val="00B04AEE"/>
    <w:rsid w:val="00B0533D"/>
    <w:rsid w:val="00B05CC6"/>
    <w:rsid w:val="00B05CFC"/>
    <w:rsid w:val="00B062E6"/>
    <w:rsid w:val="00B06A77"/>
    <w:rsid w:val="00B073AA"/>
    <w:rsid w:val="00B07C0F"/>
    <w:rsid w:val="00B12006"/>
    <w:rsid w:val="00B128C9"/>
    <w:rsid w:val="00B1470C"/>
    <w:rsid w:val="00B2123C"/>
    <w:rsid w:val="00B212B4"/>
    <w:rsid w:val="00B218AB"/>
    <w:rsid w:val="00B218AD"/>
    <w:rsid w:val="00B249B2"/>
    <w:rsid w:val="00B25DA5"/>
    <w:rsid w:val="00B30177"/>
    <w:rsid w:val="00B30BDA"/>
    <w:rsid w:val="00B3196D"/>
    <w:rsid w:val="00B3355E"/>
    <w:rsid w:val="00B34BCD"/>
    <w:rsid w:val="00B374F7"/>
    <w:rsid w:val="00B41633"/>
    <w:rsid w:val="00B41BAF"/>
    <w:rsid w:val="00B42690"/>
    <w:rsid w:val="00B46CF6"/>
    <w:rsid w:val="00B46DAB"/>
    <w:rsid w:val="00B479B4"/>
    <w:rsid w:val="00B50868"/>
    <w:rsid w:val="00B51EAD"/>
    <w:rsid w:val="00B51F26"/>
    <w:rsid w:val="00B61B9F"/>
    <w:rsid w:val="00B61BAD"/>
    <w:rsid w:val="00B63CFA"/>
    <w:rsid w:val="00B72832"/>
    <w:rsid w:val="00B72AAE"/>
    <w:rsid w:val="00B73019"/>
    <w:rsid w:val="00B73239"/>
    <w:rsid w:val="00B73331"/>
    <w:rsid w:val="00B7602A"/>
    <w:rsid w:val="00B81B2B"/>
    <w:rsid w:val="00B81EA5"/>
    <w:rsid w:val="00B87D5A"/>
    <w:rsid w:val="00B9463F"/>
    <w:rsid w:val="00B9561A"/>
    <w:rsid w:val="00BA0FDE"/>
    <w:rsid w:val="00BA5541"/>
    <w:rsid w:val="00BA6083"/>
    <w:rsid w:val="00BA6304"/>
    <w:rsid w:val="00BB44E8"/>
    <w:rsid w:val="00BB7602"/>
    <w:rsid w:val="00BB7F9A"/>
    <w:rsid w:val="00BC0555"/>
    <w:rsid w:val="00BC12AE"/>
    <w:rsid w:val="00BC1E0F"/>
    <w:rsid w:val="00BC3014"/>
    <w:rsid w:val="00BC3542"/>
    <w:rsid w:val="00BC4A1A"/>
    <w:rsid w:val="00BC5AF0"/>
    <w:rsid w:val="00BC63E8"/>
    <w:rsid w:val="00BC6C9F"/>
    <w:rsid w:val="00BD386D"/>
    <w:rsid w:val="00BD42A8"/>
    <w:rsid w:val="00BD4668"/>
    <w:rsid w:val="00BE410B"/>
    <w:rsid w:val="00BE4819"/>
    <w:rsid w:val="00BE7387"/>
    <w:rsid w:val="00BF23FA"/>
    <w:rsid w:val="00BF2C9F"/>
    <w:rsid w:val="00BF3227"/>
    <w:rsid w:val="00BF6B39"/>
    <w:rsid w:val="00BF7785"/>
    <w:rsid w:val="00C04F40"/>
    <w:rsid w:val="00C05FF2"/>
    <w:rsid w:val="00C068FD"/>
    <w:rsid w:val="00C069FD"/>
    <w:rsid w:val="00C06C9A"/>
    <w:rsid w:val="00C0787A"/>
    <w:rsid w:val="00C11954"/>
    <w:rsid w:val="00C13A3D"/>
    <w:rsid w:val="00C17E8C"/>
    <w:rsid w:val="00C2046B"/>
    <w:rsid w:val="00C233B4"/>
    <w:rsid w:val="00C25016"/>
    <w:rsid w:val="00C259F9"/>
    <w:rsid w:val="00C31CE7"/>
    <w:rsid w:val="00C32453"/>
    <w:rsid w:val="00C32B90"/>
    <w:rsid w:val="00C33710"/>
    <w:rsid w:val="00C33A20"/>
    <w:rsid w:val="00C34D20"/>
    <w:rsid w:val="00C35EE7"/>
    <w:rsid w:val="00C41A32"/>
    <w:rsid w:val="00C50458"/>
    <w:rsid w:val="00C51DEA"/>
    <w:rsid w:val="00C53C94"/>
    <w:rsid w:val="00C6072E"/>
    <w:rsid w:val="00C60A04"/>
    <w:rsid w:val="00C6222D"/>
    <w:rsid w:val="00C67CC2"/>
    <w:rsid w:val="00C70066"/>
    <w:rsid w:val="00C75409"/>
    <w:rsid w:val="00C7580D"/>
    <w:rsid w:val="00C85815"/>
    <w:rsid w:val="00C87FD0"/>
    <w:rsid w:val="00C9174C"/>
    <w:rsid w:val="00C91776"/>
    <w:rsid w:val="00C92371"/>
    <w:rsid w:val="00C92FC3"/>
    <w:rsid w:val="00C9663F"/>
    <w:rsid w:val="00C96AEA"/>
    <w:rsid w:val="00CA0DA0"/>
    <w:rsid w:val="00CA1577"/>
    <w:rsid w:val="00CA18A2"/>
    <w:rsid w:val="00CA2D7B"/>
    <w:rsid w:val="00CA2F86"/>
    <w:rsid w:val="00CA5147"/>
    <w:rsid w:val="00CA6071"/>
    <w:rsid w:val="00CA6131"/>
    <w:rsid w:val="00CA7F62"/>
    <w:rsid w:val="00CB4E8B"/>
    <w:rsid w:val="00CB5C41"/>
    <w:rsid w:val="00CB64E1"/>
    <w:rsid w:val="00CC6530"/>
    <w:rsid w:val="00CD1B1B"/>
    <w:rsid w:val="00CD3DAE"/>
    <w:rsid w:val="00CD3F95"/>
    <w:rsid w:val="00CD50C1"/>
    <w:rsid w:val="00CE5E7E"/>
    <w:rsid w:val="00CE6319"/>
    <w:rsid w:val="00CE75EC"/>
    <w:rsid w:val="00CF5415"/>
    <w:rsid w:val="00CF7701"/>
    <w:rsid w:val="00CF7C14"/>
    <w:rsid w:val="00D046E8"/>
    <w:rsid w:val="00D06630"/>
    <w:rsid w:val="00D06E8B"/>
    <w:rsid w:val="00D07EB9"/>
    <w:rsid w:val="00D10D3C"/>
    <w:rsid w:val="00D12C4A"/>
    <w:rsid w:val="00D13679"/>
    <w:rsid w:val="00D1686A"/>
    <w:rsid w:val="00D2000E"/>
    <w:rsid w:val="00D22FC2"/>
    <w:rsid w:val="00D2368D"/>
    <w:rsid w:val="00D25084"/>
    <w:rsid w:val="00D348E1"/>
    <w:rsid w:val="00D34C12"/>
    <w:rsid w:val="00D366BE"/>
    <w:rsid w:val="00D36BB7"/>
    <w:rsid w:val="00D37783"/>
    <w:rsid w:val="00D37914"/>
    <w:rsid w:val="00D428DA"/>
    <w:rsid w:val="00D43236"/>
    <w:rsid w:val="00D43E51"/>
    <w:rsid w:val="00D47035"/>
    <w:rsid w:val="00D53B61"/>
    <w:rsid w:val="00D554F0"/>
    <w:rsid w:val="00D57CEE"/>
    <w:rsid w:val="00D60AE7"/>
    <w:rsid w:val="00D62C16"/>
    <w:rsid w:val="00D70AB9"/>
    <w:rsid w:val="00D70E44"/>
    <w:rsid w:val="00D71F09"/>
    <w:rsid w:val="00D7370B"/>
    <w:rsid w:val="00D75C51"/>
    <w:rsid w:val="00D81605"/>
    <w:rsid w:val="00D822F7"/>
    <w:rsid w:val="00D824DE"/>
    <w:rsid w:val="00D8305E"/>
    <w:rsid w:val="00D84C36"/>
    <w:rsid w:val="00D8751F"/>
    <w:rsid w:val="00D90396"/>
    <w:rsid w:val="00D92EEA"/>
    <w:rsid w:val="00D93433"/>
    <w:rsid w:val="00D94559"/>
    <w:rsid w:val="00D946AB"/>
    <w:rsid w:val="00D94B54"/>
    <w:rsid w:val="00D960D6"/>
    <w:rsid w:val="00DA0EFA"/>
    <w:rsid w:val="00DA1BEA"/>
    <w:rsid w:val="00DA221B"/>
    <w:rsid w:val="00DA507B"/>
    <w:rsid w:val="00DA558A"/>
    <w:rsid w:val="00DA713C"/>
    <w:rsid w:val="00DB1139"/>
    <w:rsid w:val="00DB21EA"/>
    <w:rsid w:val="00DB676B"/>
    <w:rsid w:val="00DB7667"/>
    <w:rsid w:val="00DC0B1E"/>
    <w:rsid w:val="00DC109E"/>
    <w:rsid w:val="00DC41A8"/>
    <w:rsid w:val="00DC7EB5"/>
    <w:rsid w:val="00DD0650"/>
    <w:rsid w:val="00DD1065"/>
    <w:rsid w:val="00DD35CA"/>
    <w:rsid w:val="00DD3B99"/>
    <w:rsid w:val="00DD482A"/>
    <w:rsid w:val="00DE11BC"/>
    <w:rsid w:val="00DE1659"/>
    <w:rsid w:val="00DE1907"/>
    <w:rsid w:val="00DE3B21"/>
    <w:rsid w:val="00DE52EE"/>
    <w:rsid w:val="00DE589F"/>
    <w:rsid w:val="00DE6FCA"/>
    <w:rsid w:val="00DE7555"/>
    <w:rsid w:val="00DE7B7C"/>
    <w:rsid w:val="00DF1024"/>
    <w:rsid w:val="00DF2E72"/>
    <w:rsid w:val="00DF3DA7"/>
    <w:rsid w:val="00DF3FC2"/>
    <w:rsid w:val="00DF508A"/>
    <w:rsid w:val="00DF6F44"/>
    <w:rsid w:val="00E007C0"/>
    <w:rsid w:val="00E01C7E"/>
    <w:rsid w:val="00E03DFA"/>
    <w:rsid w:val="00E14E0C"/>
    <w:rsid w:val="00E15A90"/>
    <w:rsid w:val="00E15AD7"/>
    <w:rsid w:val="00E16427"/>
    <w:rsid w:val="00E166D7"/>
    <w:rsid w:val="00E24256"/>
    <w:rsid w:val="00E242FC"/>
    <w:rsid w:val="00E30196"/>
    <w:rsid w:val="00E317C8"/>
    <w:rsid w:val="00E3184E"/>
    <w:rsid w:val="00E31C98"/>
    <w:rsid w:val="00E32C26"/>
    <w:rsid w:val="00E34030"/>
    <w:rsid w:val="00E35C0D"/>
    <w:rsid w:val="00E363F4"/>
    <w:rsid w:val="00E36E26"/>
    <w:rsid w:val="00E443BF"/>
    <w:rsid w:val="00E46AC2"/>
    <w:rsid w:val="00E47284"/>
    <w:rsid w:val="00E50203"/>
    <w:rsid w:val="00E5189B"/>
    <w:rsid w:val="00E529C4"/>
    <w:rsid w:val="00E53905"/>
    <w:rsid w:val="00E56DA2"/>
    <w:rsid w:val="00E600B1"/>
    <w:rsid w:val="00E604FA"/>
    <w:rsid w:val="00E60BA3"/>
    <w:rsid w:val="00E61DCC"/>
    <w:rsid w:val="00E72ED2"/>
    <w:rsid w:val="00E73574"/>
    <w:rsid w:val="00E73EDE"/>
    <w:rsid w:val="00E75205"/>
    <w:rsid w:val="00E76D9D"/>
    <w:rsid w:val="00E77431"/>
    <w:rsid w:val="00E8013A"/>
    <w:rsid w:val="00E84B0B"/>
    <w:rsid w:val="00E85576"/>
    <w:rsid w:val="00E85786"/>
    <w:rsid w:val="00E860D1"/>
    <w:rsid w:val="00E862F2"/>
    <w:rsid w:val="00E90F77"/>
    <w:rsid w:val="00E91488"/>
    <w:rsid w:val="00E9724C"/>
    <w:rsid w:val="00EA3271"/>
    <w:rsid w:val="00EA3634"/>
    <w:rsid w:val="00EA47B7"/>
    <w:rsid w:val="00EA49BF"/>
    <w:rsid w:val="00EA5BF2"/>
    <w:rsid w:val="00EA5F35"/>
    <w:rsid w:val="00EA5F4F"/>
    <w:rsid w:val="00EA63D0"/>
    <w:rsid w:val="00EA68B2"/>
    <w:rsid w:val="00EB195A"/>
    <w:rsid w:val="00EB4B68"/>
    <w:rsid w:val="00EC7857"/>
    <w:rsid w:val="00ED4BCC"/>
    <w:rsid w:val="00ED5D48"/>
    <w:rsid w:val="00ED73DD"/>
    <w:rsid w:val="00ED75AC"/>
    <w:rsid w:val="00ED7EA2"/>
    <w:rsid w:val="00EE3D84"/>
    <w:rsid w:val="00EE5030"/>
    <w:rsid w:val="00EF430C"/>
    <w:rsid w:val="00EF6B8C"/>
    <w:rsid w:val="00F00AAB"/>
    <w:rsid w:val="00F01FC5"/>
    <w:rsid w:val="00F033A4"/>
    <w:rsid w:val="00F052F7"/>
    <w:rsid w:val="00F05705"/>
    <w:rsid w:val="00F05ED9"/>
    <w:rsid w:val="00F1471C"/>
    <w:rsid w:val="00F15D17"/>
    <w:rsid w:val="00F20346"/>
    <w:rsid w:val="00F208A5"/>
    <w:rsid w:val="00F22A06"/>
    <w:rsid w:val="00F243FD"/>
    <w:rsid w:val="00F26C6F"/>
    <w:rsid w:val="00F27063"/>
    <w:rsid w:val="00F3143E"/>
    <w:rsid w:val="00F314AA"/>
    <w:rsid w:val="00F31670"/>
    <w:rsid w:val="00F33553"/>
    <w:rsid w:val="00F338B3"/>
    <w:rsid w:val="00F359E6"/>
    <w:rsid w:val="00F3737B"/>
    <w:rsid w:val="00F375E3"/>
    <w:rsid w:val="00F42EFE"/>
    <w:rsid w:val="00F43E8D"/>
    <w:rsid w:val="00F43F9B"/>
    <w:rsid w:val="00F45359"/>
    <w:rsid w:val="00F459D1"/>
    <w:rsid w:val="00F467E1"/>
    <w:rsid w:val="00F46AF1"/>
    <w:rsid w:val="00F522E3"/>
    <w:rsid w:val="00F56A23"/>
    <w:rsid w:val="00F5744E"/>
    <w:rsid w:val="00F63CC4"/>
    <w:rsid w:val="00F642C1"/>
    <w:rsid w:val="00F66D0A"/>
    <w:rsid w:val="00F71A04"/>
    <w:rsid w:val="00F73CBB"/>
    <w:rsid w:val="00F755DC"/>
    <w:rsid w:val="00F75D40"/>
    <w:rsid w:val="00F84DA9"/>
    <w:rsid w:val="00F85F27"/>
    <w:rsid w:val="00F86E1F"/>
    <w:rsid w:val="00F9101F"/>
    <w:rsid w:val="00F9170B"/>
    <w:rsid w:val="00F94A2D"/>
    <w:rsid w:val="00F97AEF"/>
    <w:rsid w:val="00F97B46"/>
    <w:rsid w:val="00FA32F4"/>
    <w:rsid w:val="00FA4BB4"/>
    <w:rsid w:val="00FA66CF"/>
    <w:rsid w:val="00FB04E0"/>
    <w:rsid w:val="00FB20CD"/>
    <w:rsid w:val="00FB5F02"/>
    <w:rsid w:val="00FC130D"/>
    <w:rsid w:val="00FC1F25"/>
    <w:rsid w:val="00FC393F"/>
    <w:rsid w:val="00FC51EC"/>
    <w:rsid w:val="00FC52DD"/>
    <w:rsid w:val="00FD1E19"/>
    <w:rsid w:val="00FD2AE4"/>
    <w:rsid w:val="00FD2AF4"/>
    <w:rsid w:val="00FD2F2E"/>
    <w:rsid w:val="00FD37F1"/>
    <w:rsid w:val="00FE257B"/>
    <w:rsid w:val="00FE3562"/>
    <w:rsid w:val="00FE6F2B"/>
    <w:rsid w:val="00FE799B"/>
    <w:rsid w:val="00FF1239"/>
    <w:rsid w:val="00FF1798"/>
    <w:rsid w:val="00FF1C12"/>
    <w:rsid w:val="00FF44F3"/>
    <w:rsid w:val="00FF4C5C"/>
    <w:rsid w:val="00FF6256"/>
    <w:rsid w:val="00FF722B"/>
    <w:rsid w:val="00FF72B6"/>
    <w:rsid w:val="0CCE6117"/>
    <w:rsid w:val="1F81418E"/>
    <w:rsid w:val="2DE2487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annotation subject"/>
    <w:basedOn w:val="3"/>
    <w:next w:val="3"/>
    <w:link w:val="14"/>
    <w:unhideWhenUsed/>
    <w:uiPriority w:val="99"/>
    <w:rPr>
      <w:b/>
      <w:bCs/>
    </w:rPr>
  </w:style>
  <w:style w:type="paragraph" w:styleId="3">
    <w:name w:val="annotation text"/>
    <w:basedOn w:val="1"/>
    <w:link w:val="13"/>
    <w:unhideWhenUsed/>
    <w:uiPriority w:val="99"/>
    <w:pPr>
      <w:jc w:val="left"/>
    </w:pPr>
  </w:style>
  <w:style w:type="paragraph" w:styleId="4">
    <w:name w:val="Balloon Text"/>
    <w:basedOn w:val="1"/>
    <w:link w:val="15"/>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uiPriority w:val="99"/>
    <w:rPr>
      <w:sz w:val="21"/>
      <w:szCs w:val="21"/>
    </w:rPr>
  </w:style>
  <w:style w:type="paragraph" w:customStyle="1" w:styleId="10">
    <w:name w:val="List Paragraph"/>
    <w:basedOn w:val="1"/>
    <w:qFormat/>
    <w:uiPriority w:val="34"/>
    <w:pPr>
      <w:ind w:firstLine="420" w:firstLineChars="200"/>
    </w:pPr>
  </w:style>
  <w:style w:type="character" w:customStyle="1" w:styleId="11">
    <w:name w:val="页眉 Char"/>
    <w:basedOn w:val="7"/>
    <w:link w:val="6"/>
    <w:uiPriority w:val="99"/>
    <w:rPr>
      <w:rFonts w:ascii="Calibri" w:hAnsi="Calibri" w:eastAsia="宋体" w:cs="Times New Roman"/>
      <w:sz w:val="18"/>
      <w:szCs w:val="18"/>
    </w:rPr>
  </w:style>
  <w:style w:type="character" w:customStyle="1" w:styleId="12">
    <w:name w:val="页脚 Char"/>
    <w:basedOn w:val="7"/>
    <w:link w:val="5"/>
    <w:uiPriority w:val="99"/>
    <w:rPr>
      <w:rFonts w:ascii="Calibri" w:hAnsi="Calibri" w:eastAsia="宋体" w:cs="Times New Roman"/>
      <w:sz w:val="18"/>
      <w:szCs w:val="18"/>
    </w:rPr>
  </w:style>
  <w:style w:type="character" w:customStyle="1" w:styleId="13">
    <w:name w:val="批注文字 Char"/>
    <w:basedOn w:val="7"/>
    <w:link w:val="3"/>
    <w:semiHidden/>
    <w:uiPriority w:val="99"/>
    <w:rPr>
      <w:rFonts w:ascii="Calibri" w:hAnsi="Calibri" w:eastAsia="宋体" w:cs="Times New Roman"/>
    </w:rPr>
  </w:style>
  <w:style w:type="character" w:customStyle="1" w:styleId="14">
    <w:name w:val="批注主题 Char"/>
    <w:basedOn w:val="13"/>
    <w:link w:val="2"/>
    <w:semiHidden/>
    <w:uiPriority w:val="99"/>
    <w:rPr>
      <w:rFonts w:ascii="Calibri" w:hAnsi="Calibri" w:eastAsia="宋体" w:cs="Times New Roman"/>
      <w:b/>
      <w:bCs/>
    </w:rPr>
  </w:style>
  <w:style w:type="character" w:customStyle="1" w:styleId="15">
    <w:name w:val="批注框文本 Char"/>
    <w:basedOn w:val="7"/>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737</Words>
  <Characters>4201</Characters>
  <Lines>35</Lines>
  <Paragraphs>9</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2014-11-20T01:29:00Z</dcterms:created>
  <dc:creator>1037</dc:creator>
  <cp:lastModifiedBy>刘胜飞</cp:lastModifiedBy>
  <dcterms:modified xsi:type="dcterms:W3CDTF">2014-11-21T08:25:16Z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