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shd w:val="clear" w:color="auto" w:fill="FFFFFF"/>
        <w:autoSpaceDE w:val="0"/>
        <w:adjustRightInd w:val="0"/>
        <w:snapToGrid w:val="0"/>
        <w:spacing w:line="360" w:lineRule="auto"/>
        <w:rPr>
          <w:rFonts w:ascii="仿宋_GB2312" w:hAnsi="Times New Roman" w:eastAsia="仿宋_GB2312" w:cs="Times New Roman"/>
          <w:b/>
          <w:bCs/>
          <w:sz w:val="32"/>
          <w:szCs w:val="32"/>
        </w:rPr>
      </w:pPr>
      <w:bookmarkStart w:id="8" w:name="_GoBack"/>
      <w:bookmarkEnd w:id="8"/>
      <w:r>
        <w:rPr>
          <w:rFonts w:hint="eastAsia" w:ascii="仿宋_GB2312" w:hAnsi="Times New Roman" w:eastAsia="仿宋_GB2312" w:cs="Times New Roman"/>
          <w:b/>
          <w:bCs/>
          <w:sz w:val="32"/>
          <w:szCs w:val="32"/>
        </w:rPr>
        <w:t>附件</w:t>
      </w:r>
    </w:p>
    <w:p>
      <w:pPr>
        <w:widowControl/>
        <w:shd w:val="clear" w:color="auto" w:fill="FFFFFF"/>
        <w:autoSpaceDE w:val="0"/>
        <w:adjustRightInd w:val="0"/>
        <w:snapToGrid w:val="0"/>
        <w:rPr>
          <w:rFonts w:ascii="华文中宋" w:hAnsi="华文中宋" w:eastAsia="华文中宋" w:cs="Times New Roman"/>
          <w:color w:val="auto"/>
          <w:sz w:val="32"/>
          <w:szCs w:val="32"/>
          <w:highlight w:val="none"/>
        </w:rPr>
      </w:pP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color w:val="auto"/>
          <w:sz w:val="32"/>
          <w:szCs w:val="32"/>
          <w:highlight w:val="none"/>
        </w:rPr>
        <w:t xml:space="preserve">  </w:t>
      </w:r>
      <w:r>
        <w:rPr>
          <w:rFonts w:hint="eastAsia" w:ascii="华文中宋" w:hAnsi="华文中宋" w:eastAsia="华文中宋" w:cs="Times New Roman"/>
          <w:color w:val="auto"/>
          <w:sz w:val="44"/>
          <w:szCs w:val="44"/>
          <w:highlight w:val="none"/>
        </w:rPr>
        <w:t>知识产权资产评估指南</w:t>
      </w:r>
    </w:p>
    <w:p>
      <w:pPr>
        <w:pageBreakBefore w:val="0"/>
        <w:widowControl/>
        <w:shd w:val="clear" w:color="auto" w:fill="FFFFFF"/>
        <w:kinsoku/>
        <w:wordWrap/>
        <w:overflowPunct/>
        <w:topLinePunct w:val="0"/>
        <w:autoSpaceDE w:val="0"/>
        <w:autoSpaceDN/>
        <w:bidi w:val="0"/>
        <w:adjustRightInd w:val="0"/>
        <w:snapToGrid w:val="0"/>
        <w:spacing w:line="360" w:lineRule="auto"/>
        <w:ind w:right="0" w:rightChars="0"/>
        <w:jc w:val="center"/>
        <w:textAlignment w:val="auto"/>
        <w:rPr>
          <w:rFonts w:ascii="华文中宋" w:hAnsi="华文中宋" w:eastAsia="华文中宋" w:cs="Times New Roman"/>
          <w:color w:val="auto"/>
          <w:sz w:val="32"/>
          <w:szCs w:val="32"/>
          <w:highlight w:val="none"/>
        </w:rPr>
      </w:pPr>
    </w:p>
    <w:p>
      <w:pPr>
        <w:keepNext/>
        <w:keepLines/>
        <w:pageBreakBefore w:val="0"/>
        <w:numPr>
          <w:ilvl w:val="0"/>
          <w:numId w:val="1"/>
        </w:numPr>
        <w:kinsoku/>
        <w:wordWrap/>
        <w:overflowPunct/>
        <w:topLinePunct w:val="0"/>
        <w:autoSpaceDN/>
        <w:bidi w:val="0"/>
        <w:spacing w:line="360" w:lineRule="auto"/>
        <w:ind w:right="0" w:rightChars="0"/>
        <w:jc w:val="center"/>
        <w:textAlignment w:val="auto"/>
        <w:outlineLvl w:val="1"/>
        <w:rPr>
          <w:rFonts w:ascii="仿宋_GB2312" w:hAnsi="Calibri Light" w:eastAsia="仿宋_GB2312" w:cs="黑体"/>
          <w:b/>
          <w:bCs/>
          <w:color w:val="auto"/>
          <w:sz w:val="32"/>
          <w:szCs w:val="32"/>
          <w:highlight w:val="none"/>
        </w:rPr>
      </w:pPr>
      <w:r>
        <w:rPr>
          <w:rFonts w:hint="eastAsia" w:ascii="仿宋_GB2312" w:hAnsi="Calibri Light" w:eastAsia="仿宋_GB2312" w:cs="黑体"/>
          <w:b/>
          <w:bCs/>
          <w:color w:val="auto"/>
          <w:sz w:val="32"/>
          <w:szCs w:val="32"/>
          <w:highlight w:val="none"/>
        </w:rPr>
        <w:t>总则</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b/>
          <w:bCs/>
          <w:color w:val="auto"/>
          <w:sz w:val="32"/>
          <w:szCs w:val="32"/>
          <w:highlight w:val="none"/>
          <w:lang w:eastAsia="zh-CN"/>
        </w:rPr>
        <w:t>第一条</w:t>
      </w:r>
      <w:r>
        <w:rPr>
          <w:rFonts w:hint="eastAsia" w:ascii="仿宋_GB2312" w:hAnsi="Times New Roman" w:eastAsia="仿宋_GB2312" w:cs="Times New Roman"/>
          <w:color w:val="auto"/>
          <w:sz w:val="32"/>
          <w:szCs w:val="32"/>
          <w:highlight w:val="none"/>
          <w:lang w:val="en-US" w:eastAsia="zh-CN"/>
        </w:rPr>
        <w:t xml:space="preserve">  </w:t>
      </w:r>
      <w:r>
        <w:rPr>
          <w:rFonts w:hint="eastAsia" w:ascii="仿宋_GB2312" w:hAnsi="Times New Roman" w:eastAsia="仿宋_GB2312" w:cs="Times New Roman"/>
          <w:color w:val="auto"/>
          <w:sz w:val="32"/>
          <w:szCs w:val="32"/>
          <w:highlight w:val="none"/>
        </w:rPr>
        <w:t>为规范资产评估师执行知识产权资产评估业务行为，维护社会公众利益和资产评估各方当事人合法权益，根据《资产评估准则——无形资产》，制定本指南。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b/>
          <w:bCs/>
          <w:color w:val="auto"/>
          <w:sz w:val="32"/>
          <w:szCs w:val="32"/>
          <w:highlight w:val="none"/>
          <w:lang w:eastAsia="zh-CN"/>
        </w:rPr>
        <w:t>第二条</w:t>
      </w:r>
      <w:r>
        <w:rPr>
          <w:rFonts w:hint="eastAsia" w:ascii="仿宋_GB2312" w:hAnsi="Times New Roman" w:eastAsia="仿宋_GB2312" w:cs="Times New Roman"/>
          <w:b/>
          <w:bCs/>
          <w:color w:val="auto"/>
          <w:sz w:val="32"/>
          <w:szCs w:val="32"/>
          <w:highlight w:val="none"/>
          <w:lang w:val="en-US" w:eastAsia="zh-CN"/>
        </w:rPr>
        <w:t xml:space="preserve">  </w:t>
      </w:r>
      <w:r>
        <w:rPr>
          <w:rFonts w:hint="eastAsia" w:ascii="仿宋_GB2312" w:hAnsi="Times New Roman" w:eastAsia="仿宋_GB2312" w:cs="Times New Roman"/>
          <w:color w:val="auto"/>
          <w:sz w:val="32"/>
          <w:szCs w:val="32"/>
          <w:highlight w:val="none"/>
        </w:rPr>
        <w:t>本指南所称知识产权资产，是指权利人所拥有或者控制的，能够持续发挥作用并且预期能带来经济利益的知识产权的财产权益。知识产权资产包括专利权、商标专用权、著作权、商业秘密、集成电路布图设计和植物新品种等资产的财产权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4" w:leftChars="-7" w:right="0" w:rightChars="0" w:firstLine="652" w:firstLineChars="204"/>
        <w:jc w:val="both"/>
        <w:textAlignment w:val="auto"/>
        <w:outlineLvl w:val="9"/>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b/>
          <w:bCs/>
          <w:color w:val="auto"/>
          <w:sz w:val="32"/>
          <w:szCs w:val="32"/>
          <w:highlight w:val="none"/>
          <w:lang w:eastAsia="zh-CN"/>
        </w:rPr>
        <w:t>第三条</w:t>
      </w:r>
      <w:r>
        <w:rPr>
          <w:rFonts w:hint="eastAsia" w:ascii="仿宋_GB2312" w:hAnsi="Times New Roman" w:eastAsia="仿宋_GB2312" w:cs="Times New Roman"/>
          <w:color w:val="auto"/>
          <w:sz w:val="32"/>
          <w:szCs w:val="32"/>
          <w:highlight w:val="none"/>
          <w:lang w:val="en-US" w:eastAsia="zh-CN"/>
        </w:rPr>
        <w:t xml:space="preserve">  </w:t>
      </w:r>
      <w:r>
        <w:rPr>
          <w:rFonts w:hint="eastAsia" w:ascii="仿宋_GB2312" w:hAnsi="Times New Roman" w:eastAsia="仿宋_GB2312" w:cs="Times New Roman"/>
          <w:color w:val="auto"/>
          <w:sz w:val="32"/>
          <w:szCs w:val="32"/>
          <w:highlight w:val="none"/>
        </w:rPr>
        <w:t>本指南所称知识产权资产评估，是指资产评估师依据相关法律、法规和资产评估准则，对知识产权资产的价值进行分析、估算并发表专业意见的行为和过程。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4" w:leftChars="-7" w:right="0" w:rightChars="0" w:firstLine="652" w:firstLineChars="204"/>
        <w:jc w:val="both"/>
        <w:textAlignment w:val="auto"/>
        <w:outlineLvl w:val="9"/>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b/>
          <w:bCs/>
          <w:color w:val="auto"/>
          <w:sz w:val="32"/>
          <w:szCs w:val="32"/>
          <w:highlight w:val="none"/>
          <w:lang w:eastAsia="zh-CN"/>
        </w:rPr>
        <w:t>第四条</w:t>
      </w:r>
      <w:r>
        <w:rPr>
          <w:rFonts w:hint="eastAsia" w:ascii="仿宋_GB2312" w:hAnsi="Times New Roman" w:eastAsia="仿宋_GB2312" w:cs="Times New Roman"/>
          <w:b/>
          <w:bCs/>
          <w:color w:val="auto"/>
          <w:sz w:val="32"/>
          <w:szCs w:val="32"/>
          <w:highlight w:val="none"/>
          <w:lang w:val="en-US" w:eastAsia="zh-CN"/>
        </w:rPr>
        <w:t xml:space="preserve">  </w:t>
      </w:r>
      <w:r>
        <w:rPr>
          <w:rFonts w:hint="eastAsia" w:ascii="仿宋_GB2312" w:hAnsi="Times New Roman" w:eastAsia="仿宋_GB2312" w:cs="Times New Roman"/>
          <w:color w:val="auto"/>
          <w:sz w:val="32"/>
          <w:szCs w:val="32"/>
          <w:highlight w:val="none"/>
        </w:rPr>
        <w:t>资产评估师执行知识产权资产评估业务，应当遵守本指南。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4" w:leftChars="-7" w:right="0" w:rightChars="0" w:firstLine="652" w:firstLineChars="204"/>
        <w:jc w:val="both"/>
        <w:textAlignment w:val="auto"/>
        <w:outlineLvl w:val="9"/>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b/>
          <w:bCs/>
          <w:color w:val="auto"/>
          <w:sz w:val="32"/>
          <w:szCs w:val="32"/>
          <w:highlight w:val="none"/>
          <w:lang w:eastAsia="zh-CN"/>
        </w:rPr>
        <w:t>第五条</w:t>
      </w:r>
      <w:r>
        <w:rPr>
          <w:rFonts w:hint="eastAsia" w:ascii="仿宋_GB2312" w:hAnsi="Times New Roman" w:eastAsia="仿宋_GB2312" w:cs="Times New Roman"/>
          <w:b/>
          <w:bCs/>
          <w:color w:val="auto"/>
          <w:sz w:val="32"/>
          <w:szCs w:val="32"/>
          <w:highlight w:val="none"/>
          <w:lang w:val="en-US" w:eastAsia="zh-CN"/>
        </w:rPr>
        <w:t xml:space="preserve"> </w:t>
      </w:r>
      <w:r>
        <w:rPr>
          <w:rFonts w:hint="eastAsia" w:ascii="仿宋_GB2312" w:hAnsi="Times New Roman" w:eastAsia="仿宋_GB2312" w:cs="Times New Roman"/>
          <w:color w:val="auto"/>
          <w:sz w:val="32"/>
          <w:szCs w:val="32"/>
          <w:highlight w:val="none"/>
          <w:lang w:val="en-US" w:eastAsia="zh-CN"/>
        </w:rPr>
        <w:t xml:space="preserve"> </w:t>
      </w:r>
      <w:r>
        <w:rPr>
          <w:rFonts w:hint="eastAsia" w:ascii="仿宋_GB2312" w:hAnsi="Times New Roman" w:eastAsia="仿宋_GB2312" w:cs="Times New Roman"/>
          <w:color w:val="auto"/>
          <w:sz w:val="32"/>
          <w:szCs w:val="32"/>
          <w:highlight w:val="none"/>
        </w:rPr>
        <w:t>资产评估师执行与知识产权资产价值估算相关的其他业务，可以参照本指南。</w:t>
      </w:r>
    </w:p>
    <w:p>
      <w:pPr>
        <w:keepNext/>
        <w:keepLines/>
        <w:pageBreakBefore w:val="0"/>
        <w:numPr>
          <w:ilvl w:val="0"/>
          <w:numId w:val="1"/>
        </w:numPr>
        <w:kinsoku/>
        <w:wordWrap/>
        <w:overflowPunct/>
        <w:topLinePunct w:val="0"/>
        <w:autoSpaceDN/>
        <w:bidi w:val="0"/>
        <w:spacing w:line="360" w:lineRule="auto"/>
        <w:ind w:right="0" w:rightChars="0"/>
        <w:jc w:val="center"/>
        <w:textAlignment w:val="auto"/>
        <w:outlineLvl w:val="1"/>
        <w:rPr>
          <w:rFonts w:ascii="仿宋_GB2312" w:hAnsi="Calibri Light" w:eastAsia="仿宋_GB2312" w:cs="黑体"/>
          <w:b/>
          <w:bCs/>
          <w:color w:val="auto"/>
          <w:sz w:val="32"/>
          <w:szCs w:val="32"/>
          <w:highlight w:val="none"/>
        </w:rPr>
      </w:pPr>
      <w:r>
        <w:rPr>
          <w:rFonts w:hint="eastAsia" w:ascii="仿宋_GB2312" w:hAnsi="Calibri Light" w:eastAsia="仿宋_GB2312" w:cs="黑体"/>
          <w:b/>
          <w:bCs/>
          <w:color w:val="auto"/>
          <w:sz w:val="32"/>
          <w:szCs w:val="32"/>
          <w:highlight w:val="none"/>
        </w:rPr>
        <w:t>基本要求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b/>
          <w:bCs/>
          <w:color w:val="auto"/>
          <w:sz w:val="32"/>
          <w:szCs w:val="32"/>
          <w:highlight w:val="none"/>
          <w:lang w:eastAsia="zh-CN"/>
        </w:rPr>
        <w:t>第六条</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从事知识产权资产评估业务的评估机构应当持有财政部门颁发的资产评估资格证书。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b/>
          <w:bCs/>
          <w:color w:val="auto"/>
          <w:sz w:val="32"/>
          <w:szCs w:val="32"/>
          <w:highlight w:val="none"/>
          <w:lang w:eastAsia="zh-CN"/>
        </w:rPr>
        <w:t>第七条</w:t>
      </w:r>
      <w:r>
        <w:rPr>
          <w:rFonts w:hint="eastAsia" w:ascii="Times New Roman" w:hAnsi="Times New Roman" w:eastAsia="仿宋_GB2312" w:cs="Times New Roman"/>
          <w:b/>
          <w:bCs/>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资产评估师执行知识产权资产评估业务，应当具备知识产权资产评估的相关专业知识和经验，具有从事知识产权资产评估的专业胜任能力。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b/>
          <w:bCs/>
          <w:color w:val="auto"/>
          <w:sz w:val="32"/>
          <w:szCs w:val="32"/>
          <w:highlight w:val="none"/>
          <w:lang w:eastAsia="zh-CN"/>
        </w:rPr>
        <w:t>第八条</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资产</w:t>
      </w:r>
      <w:r>
        <w:rPr>
          <w:rFonts w:ascii="Times New Roman" w:hAnsi="Times New Roman" w:eastAsia="仿宋_GB2312" w:cs="Times New Roman"/>
          <w:color w:val="auto"/>
          <w:sz w:val="32"/>
          <w:szCs w:val="32"/>
          <w:highlight w:val="none"/>
        </w:rPr>
        <w:t>评估师</w:t>
      </w:r>
      <w:r>
        <w:rPr>
          <w:rFonts w:hint="eastAsia" w:ascii="Times New Roman" w:hAnsi="Times New Roman" w:eastAsia="仿宋_GB2312" w:cs="Times New Roman"/>
          <w:color w:val="auto"/>
          <w:sz w:val="32"/>
          <w:szCs w:val="32"/>
          <w:highlight w:val="none"/>
        </w:rPr>
        <w:t>应当关注知识产权资产评估业务的复杂性，根据自身的专业知识和经验，审慎考虑是否有能力承接知识产权资产评估业务。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b/>
          <w:bCs/>
          <w:color w:val="auto"/>
          <w:sz w:val="32"/>
          <w:szCs w:val="32"/>
          <w:highlight w:val="none"/>
          <w:lang w:eastAsia="zh-CN"/>
        </w:rPr>
        <w:t>第九条</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资产评估师执行知识产权资产评估业务，应当恪守独立、客观、公正的原则，勤勉尽责，保持应有的职业谨慎，</w:t>
      </w:r>
      <w:bookmarkStart w:id="0" w:name="OLE_LINK6"/>
      <w:bookmarkStart w:id="1" w:name="OLE_LINK5"/>
      <w:r>
        <w:rPr>
          <w:rFonts w:hint="eastAsia" w:ascii="Times New Roman" w:hAnsi="Times New Roman" w:eastAsia="仿宋_GB2312" w:cs="Times New Roman"/>
          <w:color w:val="auto"/>
          <w:sz w:val="32"/>
          <w:szCs w:val="32"/>
          <w:highlight w:val="none"/>
        </w:rPr>
        <w:t>避免出现对评估结论具有重大影响的疏漏</w:t>
      </w:r>
      <w:bookmarkEnd w:id="0"/>
      <w:bookmarkEnd w:id="1"/>
      <w:r>
        <w:rPr>
          <w:rFonts w:hint="eastAsia" w:ascii="Times New Roman" w:hAnsi="Times New Roman" w:eastAsia="仿宋_GB2312" w:cs="Times New Roman"/>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b/>
          <w:bCs/>
          <w:color w:val="auto"/>
          <w:sz w:val="32"/>
          <w:szCs w:val="32"/>
          <w:highlight w:val="none"/>
          <w:lang w:eastAsia="zh-CN"/>
        </w:rPr>
        <w:t>第十条</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资产评估师执行知识产权资产评估业务，应当明确评估对象、评估范围、评估目的、评估基准日、价值类型和评估报告使用者。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b/>
          <w:bCs/>
          <w:color w:val="auto"/>
          <w:sz w:val="32"/>
          <w:szCs w:val="32"/>
          <w:highlight w:val="none"/>
          <w:lang w:eastAsia="zh-CN"/>
        </w:rPr>
        <w:t>第十一条</w:t>
      </w:r>
      <w:r>
        <w:rPr>
          <w:rFonts w:hint="eastAsia" w:ascii="仿宋_GB2312" w:hAnsi="Times New Roman" w:eastAsia="仿宋_GB2312" w:cs="Times New Roman"/>
          <w:b/>
          <w:bCs/>
          <w:color w:val="auto"/>
          <w:sz w:val="32"/>
          <w:szCs w:val="32"/>
          <w:highlight w:val="none"/>
          <w:lang w:val="en-US" w:eastAsia="zh-CN"/>
        </w:rPr>
        <w:t xml:space="preserve"> </w:t>
      </w:r>
      <w:r>
        <w:rPr>
          <w:rFonts w:hint="eastAsia" w:ascii="仿宋_GB2312" w:hAnsi="Times New Roman" w:eastAsia="仿宋_GB2312" w:cs="Times New Roman"/>
          <w:color w:val="auto"/>
          <w:sz w:val="32"/>
          <w:szCs w:val="32"/>
          <w:highlight w:val="none"/>
          <w:lang w:val="en-US" w:eastAsia="zh-CN"/>
        </w:rPr>
        <w:t xml:space="preserve"> </w:t>
      </w:r>
      <w:r>
        <w:rPr>
          <w:rFonts w:hint="eastAsia" w:ascii="仿宋_GB2312" w:hAnsi="Times New Roman" w:eastAsia="仿宋_GB2312" w:cs="Times New Roman"/>
          <w:color w:val="auto"/>
          <w:sz w:val="32"/>
          <w:szCs w:val="32"/>
          <w:highlight w:val="none"/>
        </w:rPr>
        <w:t>知识产权资产评估目的通常包括转让、许可使用、出资、质押、诉讼、财务报告等。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b/>
          <w:bCs/>
          <w:color w:val="auto"/>
          <w:sz w:val="32"/>
          <w:szCs w:val="32"/>
          <w:highlight w:val="none"/>
          <w:lang w:eastAsia="zh-CN"/>
        </w:rPr>
        <w:t>第十二条</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资产评估师执行知识产权资产评估业务，应当充分考虑评估目的、市场条件、评估对象自身条件等因素，恰当选择价值类型。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b/>
          <w:bCs/>
          <w:color w:val="auto"/>
          <w:sz w:val="32"/>
          <w:szCs w:val="32"/>
          <w:highlight w:val="none"/>
          <w:lang w:eastAsia="zh-CN"/>
        </w:rPr>
        <w:t>第十三条</w:t>
      </w:r>
      <w:r>
        <w:rPr>
          <w:rFonts w:hint="eastAsia" w:ascii="Times New Roman" w:hAnsi="Times New Roman" w:eastAsia="仿宋_GB2312" w:cs="Times New Roman"/>
          <w:b/>
          <w:bCs/>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资产评估师执行知识产权资产评估业务，在充分获取相关信息的同时，应当对信息来源的可靠性进行甄别和分析，对不同渠道获得的信息进行对比和查验，以判断信息</w:t>
      </w:r>
      <w:r>
        <w:rPr>
          <w:rFonts w:ascii="Times New Roman" w:hAnsi="Times New Roman" w:eastAsia="仿宋_GB2312" w:cs="Times New Roman"/>
          <w:color w:val="auto"/>
          <w:sz w:val="32"/>
          <w:szCs w:val="32"/>
          <w:highlight w:val="none"/>
        </w:rPr>
        <w:t>的合理性</w:t>
      </w:r>
      <w:r>
        <w:rPr>
          <w:rFonts w:hint="eastAsia" w:ascii="Times New Roman" w:hAnsi="Times New Roman" w:eastAsia="仿宋_GB2312" w:cs="Times New Roman"/>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b/>
          <w:bCs/>
          <w:color w:val="auto"/>
          <w:sz w:val="32"/>
          <w:szCs w:val="32"/>
          <w:highlight w:val="none"/>
          <w:lang w:eastAsia="zh-CN"/>
        </w:rPr>
        <w:t>第十四条</w:t>
      </w:r>
      <w:r>
        <w:rPr>
          <w:rFonts w:hint="eastAsia" w:ascii="Times New Roman" w:hAnsi="Times New Roman" w:eastAsia="仿宋_GB2312" w:cs="Times New Roman"/>
          <w:b/>
          <w:bCs/>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资产评估师执行知识产权资产评估业务，应当合理使用评估假设和限定条件，并考虑其与评估对象、评估目的和价值类型的相关性。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b/>
          <w:bCs/>
          <w:color w:val="auto"/>
          <w:sz w:val="32"/>
          <w:szCs w:val="32"/>
          <w:highlight w:val="none"/>
          <w:lang w:eastAsia="zh-CN"/>
        </w:rPr>
        <w:t>第十五条</w:t>
      </w:r>
      <w:r>
        <w:rPr>
          <w:rFonts w:hint="eastAsia" w:ascii="Times New Roman" w:hAnsi="Times New Roman" w:eastAsia="仿宋_GB2312" w:cs="Times New Roman"/>
          <w:b/>
          <w:bCs/>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资产评估师执行知识产权资产评估业务，</w:t>
      </w:r>
      <w:r>
        <w:rPr>
          <w:rFonts w:hint="eastAsia" w:ascii="仿宋_GB2312" w:hAnsi="华文中宋" w:eastAsia="仿宋_GB2312" w:cs="华文仿宋"/>
          <w:color w:val="auto"/>
          <w:kern w:val="0"/>
          <w:sz w:val="32"/>
          <w:szCs w:val="32"/>
          <w:highlight w:val="none"/>
        </w:rPr>
        <w:t>涉及特殊专业知识和经验时，可以利用专家工作，但应当履行必要程序恰当利用专家工作。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b/>
          <w:bCs/>
          <w:color w:val="auto"/>
          <w:sz w:val="32"/>
          <w:szCs w:val="32"/>
          <w:highlight w:val="none"/>
          <w:lang w:eastAsia="zh-CN"/>
        </w:rPr>
        <w:t>第十六条</w:t>
      </w:r>
      <w:r>
        <w:rPr>
          <w:rFonts w:hint="eastAsia" w:ascii="Times New Roman" w:hAnsi="Times New Roman" w:eastAsia="仿宋_GB2312" w:cs="Times New Roman"/>
          <w:b/>
          <w:bCs/>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资产评估师执行知识产权资产评估业务，应当关注宏观经济政策、行业政策、经营条件、生产能力、市场状况、产品生命周期等各项因素对知识产权资产效能发挥的作用，关注其对知识产权资产价值产生的影响。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b/>
          <w:bCs/>
          <w:color w:val="auto"/>
          <w:sz w:val="32"/>
          <w:szCs w:val="32"/>
          <w:highlight w:val="none"/>
          <w:lang w:eastAsia="zh-CN"/>
        </w:rPr>
        <w:t>第十七条</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资产评估师执行知识产权资产评估业务，应当关注知识产权资产的基本情况：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（一）知识产权资产权利的法律文件、权属有效性文件或者其他证明资料；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（二）知识产权资产特征和使用状况，历史沿革以及评估与交易情况；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（三）知识产权资产实施的地域范围、领域范围、获利能力与获利方式，知识产权资产是否能给权利人带来显著、持续的可辨识经济利益；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（四）知识产权资产的法定寿命和剩余经济寿命，知识产权资产的保护措施；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（五）知识产权资产实施过程中所受到相关法律法规或者其他限制，知识产权资产转让、许可使用</w:t>
      </w:r>
      <w:r>
        <w:rPr>
          <w:rFonts w:ascii="仿宋_GB2312" w:hAnsi="Times New Roman" w:eastAsia="仿宋_GB2312" w:cs="Times New Roman"/>
          <w:color w:val="auto"/>
          <w:sz w:val="32"/>
          <w:szCs w:val="32"/>
          <w:highlight w:val="none"/>
        </w:rPr>
        <w:t>、</w:t>
      </w:r>
      <w:r>
        <w:rPr>
          <w:rFonts w:hint="eastAsia" w:ascii="仿宋_GB2312" w:hAnsi="Times New Roman" w:eastAsia="仿宋_GB2312" w:cs="Times New Roman"/>
          <w:color w:val="auto"/>
          <w:sz w:val="32"/>
          <w:szCs w:val="32"/>
          <w:highlight w:val="none"/>
        </w:rPr>
        <w:t>出资、质押等的可行性；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（六）类似知识产权资产的市场价格信息；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（七）其他相关信息。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b/>
          <w:bCs/>
          <w:color w:val="auto"/>
          <w:sz w:val="32"/>
          <w:szCs w:val="32"/>
          <w:highlight w:val="none"/>
          <w:lang w:eastAsia="zh-CN"/>
        </w:rPr>
        <w:t>第十八条</w:t>
      </w:r>
      <w:r>
        <w:rPr>
          <w:rFonts w:hint="eastAsia" w:ascii="Times New Roman" w:hAnsi="Times New Roman" w:eastAsia="仿宋_GB2312" w:cs="Times New Roman"/>
          <w:b/>
          <w:bCs/>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资产评估师执行知识产权资产评估业务，应当要求委托方明确评估对象，</w:t>
      </w:r>
      <w:r>
        <w:rPr>
          <w:rFonts w:hint="eastAsia" w:ascii="仿宋_GB2312" w:hAnsi="Times New Roman" w:eastAsia="仿宋_GB2312" w:cs="Times New Roman"/>
          <w:color w:val="auto"/>
          <w:sz w:val="32"/>
          <w:szCs w:val="32"/>
          <w:highlight w:val="none"/>
        </w:rPr>
        <w:t>应当关注评估对象的权利状况以及法律、经济、技术等具体特征。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知识产权资产通常与其他资产共同发挥作用，资产评估师应当根据评估对象的具体情况和评估目的分析、判断被评估知识产权资产的作用，恰当进行单项知识产权资产或者知识产权资产组合的评估，合理确定知识产权资产的价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b/>
          <w:bCs/>
          <w:color w:val="auto"/>
          <w:sz w:val="32"/>
          <w:szCs w:val="32"/>
          <w:highlight w:val="none"/>
          <w:lang w:eastAsia="zh-CN"/>
        </w:rPr>
        <w:t>第十九条</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专利资产，是指权利人所拥有的，能</w:t>
      </w:r>
      <w:r>
        <w:rPr>
          <w:rFonts w:hint="eastAsia" w:ascii="Times New Roman" w:hAnsi="Times New Roman" w:eastAsia="仿宋_GB2312" w:cs="Times New Roman"/>
          <w:color w:val="auto"/>
          <w:sz w:val="32"/>
          <w:szCs w:val="32"/>
          <w:highlight w:val="none"/>
          <w:lang w:eastAsia="zh-CN"/>
        </w:rPr>
        <w:t>够</w:t>
      </w:r>
      <w:r>
        <w:rPr>
          <w:rFonts w:hint="eastAsia" w:ascii="Times New Roman" w:hAnsi="Times New Roman" w:eastAsia="仿宋_GB2312" w:cs="Times New Roman"/>
          <w:color w:val="auto"/>
          <w:sz w:val="32"/>
          <w:szCs w:val="32"/>
          <w:highlight w:val="none"/>
        </w:rPr>
        <w:t>持续发挥作用并且预期能带来经济利益的专利权益。专利资产评估业务的评估对象是指专利资产权益，包括专利所有权和专利使用权。专利使用权的具体形式包括专利权独占许可、独家许可、普通许可和其他许可形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资产评估师执行专利资产评估业务，应当明确专利资产的权利属性。评估对象为专利所有权的，应当关注专利权是否已许可他人使用以及使用权的具体形式，并关注其对专利所有权价值的影响。评估对象为专利使用权的，应当明确专利使用权的具体形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b/>
          <w:bCs/>
          <w:color w:val="auto"/>
          <w:sz w:val="32"/>
          <w:szCs w:val="32"/>
          <w:highlight w:val="none"/>
          <w:lang w:eastAsia="zh-CN"/>
        </w:rPr>
        <w:t>第二十条</w:t>
      </w:r>
      <w:r>
        <w:rPr>
          <w:rFonts w:hint="eastAsia" w:ascii="Times New Roman" w:hAnsi="Times New Roman" w:eastAsia="仿宋_GB2312" w:cs="Times New Roman"/>
          <w:b/>
          <w:bCs/>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商标资产，是指权利人所拥有或者控制的，能够持续发挥作用并且预期能带来经济利益的注册商标权益。</w:t>
      </w:r>
      <w:r>
        <w:rPr>
          <w:rFonts w:hint="eastAsia" w:ascii="仿宋_GB2312" w:hAnsi="Times New Roman" w:eastAsia="仿宋_GB2312" w:cs="Times New Roman"/>
          <w:color w:val="auto"/>
          <w:sz w:val="32"/>
          <w:szCs w:val="32"/>
          <w:highlight w:val="none"/>
        </w:rPr>
        <w:t>注册商标包括商品商标、服务商标、集体商标、证明商标，商标资产评估涉及的商标通常为商品商标和服务商标。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_GB2312"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商标资产评估对象是指受法律保护的注册商标资产权益，包括商标专用权、商标许可权。</w:t>
      </w:r>
      <w:r>
        <w:rPr>
          <w:rFonts w:hint="eastAsia" w:ascii="仿宋_GB2312" w:hAnsi="Times New Roman" w:eastAsia="仿宋_GB2312" w:cs="Times New Roman"/>
          <w:color w:val="auto"/>
          <w:sz w:val="32"/>
          <w:szCs w:val="32"/>
          <w:highlight w:val="none"/>
        </w:rPr>
        <w:t>评估对象为商标专用权的，应当关注商标是否已许可他人使用以及具体许可形式。评估对象为商标许可权时，应当明确该权利的具体许可形式和内容。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b/>
          <w:bCs/>
          <w:color w:val="auto"/>
          <w:sz w:val="32"/>
          <w:szCs w:val="32"/>
          <w:highlight w:val="none"/>
          <w:lang w:eastAsia="zh-CN"/>
        </w:rPr>
        <w:t>第二十一条</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著作权资产，是指权利人所拥有或者控制的，能够持续发挥作用并且预期能带来经济利益的著作权的财产权益和与著作权有关权利的财产权益。著作权资产评估对象是指著作权中的财产权益以及与著作权有关权利的财产权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著作权财产权利种类包括：复制权、发行权、出租权、展览权、表演权、放映权、广播权、信息网络传播权、摄制权、改编权、翻译权、汇编权以及著作权人享有的其他财产权利。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与著作权有关权利包括：出版者对其出版的图书、期刊的版式设计的权利，表演者对其表演享有的权利，录音、录像制作者对其制作的录音、录像制品享有的权利，广播电台、电视台对其制作的广播、电视所享有的权利以及由法律法规规定的其他与著作权有关的权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著作权资产的财产权利形式包括著作权人享有的权利，以及转让或者许可他人使用的权利。许可使用形式包括法定许可和授权许可；授权许可形式包括专有许可、非专有许可和其他形式许可等。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资产评估师执行著作权资产评估业务，应当明确著作权资产的权利形式。当评估对象为著作权使用权时，应当明确著作权使用权的具体许可形式和许可内容。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资产评估师执行著作权资产评估业务，应当关注原创著作权和衍生著作权之间的权利关系以及著作权与有关权利之间的关系。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b/>
          <w:bCs/>
          <w:color w:val="auto"/>
          <w:sz w:val="32"/>
          <w:szCs w:val="32"/>
          <w:highlight w:val="none"/>
          <w:lang w:eastAsia="zh-CN"/>
        </w:rPr>
        <w:t>第二十二条</w:t>
      </w:r>
      <w:r>
        <w:rPr>
          <w:rFonts w:hint="eastAsia" w:ascii="Times New Roman" w:hAnsi="Times New Roman" w:eastAsia="仿宋_GB2312" w:cs="Times New Roman"/>
          <w:b/>
          <w:bCs/>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商业秘密，是指不为公众所知悉、能为权利人带来经济利益、具有实用性并经权利人采取保密措施的技术信息和经营信息，包括设计、程序、产品配方、制作工艺、制作方法、管理诀窍、客户名单、货源情报、产销策略、招投标中的标底及标书内容等信息。设计、程序、产品配方、制作工艺、制作方法等在实务中通常称为</w:t>
      </w:r>
      <w:r>
        <w:rPr>
          <w:rFonts w:ascii="Times New Roman" w:hAnsi="Times New Roman" w:eastAsia="仿宋_GB2312" w:cs="Times New Roman"/>
          <w:color w:val="auto"/>
          <w:sz w:val="32"/>
          <w:szCs w:val="32"/>
          <w:highlight w:val="none"/>
        </w:rPr>
        <w:t>专有技术</w:t>
      </w:r>
      <w:r>
        <w:rPr>
          <w:rFonts w:hint="eastAsia" w:ascii="Times New Roman" w:hAnsi="Times New Roman" w:eastAsia="仿宋_GB2312" w:cs="Times New Roman"/>
          <w:color w:val="auto"/>
          <w:sz w:val="32"/>
          <w:szCs w:val="32"/>
          <w:highlight w:val="none"/>
        </w:rPr>
        <w:t>或</w:t>
      </w:r>
      <w:r>
        <w:rPr>
          <w:rFonts w:hint="eastAsia" w:ascii="Times New Roman" w:hAnsi="Times New Roman" w:eastAsia="仿宋_GB2312" w:cs="Times New Roman"/>
          <w:color w:val="auto"/>
          <w:sz w:val="32"/>
          <w:szCs w:val="32"/>
          <w:highlight w:val="none"/>
          <w:lang w:eastAsia="zh-CN"/>
        </w:rPr>
        <w:t>者</w:t>
      </w:r>
      <w:r>
        <w:rPr>
          <w:rFonts w:ascii="Times New Roman" w:hAnsi="Times New Roman" w:eastAsia="仿宋_GB2312" w:cs="Times New Roman"/>
          <w:color w:val="auto"/>
          <w:sz w:val="32"/>
          <w:szCs w:val="32"/>
          <w:highlight w:val="none"/>
        </w:rPr>
        <w:t>技术诀窍。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资产评估师执行商业秘密资产评估业务，应当关注商业秘密的保密级别、保密期限、应用范围等，同时应当考虑权利人对商业秘密采取的保护措施，如竞业禁止协议等对商业秘密价值的影响。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b/>
          <w:bCs/>
          <w:color w:val="auto"/>
          <w:sz w:val="32"/>
          <w:szCs w:val="32"/>
          <w:highlight w:val="none"/>
          <w:lang w:eastAsia="zh-CN"/>
        </w:rPr>
        <w:t>第二十三条</w:t>
      </w:r>
      <w:r>
        <w:rPr>
          <w:rFonts w:hint="eastAsia" w:ascii="Times New Roman" w:hAnsi="Times New Roman" w:eastAsia="仿宋_GB2312" w:cs="Times New Roman"/>
          <w:b/>
          <w:bCs/>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集成电路布图设计，是指集成电路中至少有一个是有源元件的两个以上元件和部分或者全部互连线路的三维配置，或者为制造集成电路而准备的上述三维配置。其中，集成电路是指半导体集成电路，即以半导体材料为基片，将至少有一个是有源元件的两个以上元件和部分或者全部互连线路集成在基片之中或者基片之上，以执行某种电子功能的中间产品或者最终产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集成电路布图设计资产评估对象是指集成电路布图设计资产的权益，包括专有权和许可他人使用的权利。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_GB2312" w:hAnsi="Times New Roman" w:eastAsia="仿宋_GB2312" w:cs="Times New Roman"/>
          <w:color w:val="auto"/>
          <w:sz w:val="32"/>
          <w:szCs w:val="32"/>
          <w:highlight w:val="none"/>
        </w:rPr>
      </w:pPr>
      <w:bookmarkStart w:id="2" w:name="OLE_LINK1"/>
      <w:bookmarkStart w:id="3" w:name="OLE_LINK2"/>
      <w:r>
        <w:rPr>
          <w:rFonts w:hint="eastAsia" w:ascii="仿宋_GB2312" w:hAnsi="Times New Roman" w:eastAsia="仿宋_GB2312" w:cs="Times New Roman"/>
          <w:color w:val="auto"/>
          <w:sz w:val="32"/>
          <w:szCs w:val="32"/>
          <w:highlight w:val="none"/>
        </w:rPr>
        <w:t>资产评估师应当知晓，</w:t>
      </w:r>
      <w:bookmarkEnd w:id="2"/>
      <w:bookmarkEnd w:id="3"/>
      <w:r>
        <w:rPr>
          <w:rFonts w:hint="eastAsia" w:ascii="仿宋_GB2312" w:hAnsi="Times New Roman" w:eastAsia="仿宋_GB2312" w:cs="Times New Roman"/>
          <w:color w:val="auto"/>
          <w:sz w:val="32"/>
          <w:szCs w:val="32"/>
          <w:highlight w:val="none"/>
        </w:rPr>
        <w:t xml:space="preserve">集成电路布图设计权利人享有下列专有权：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 xml:space="preserve">（一）对受保护的布图设计的全部或者其中任何具有独创性的部分进行复制；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（二）将受保护的布图设计、含有该布图设计的集成电路或者含有该集成电路的物品投入商业利用。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集成电路布图设计权利人可以将其专有权转让或者许可他人使用其布图设计。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资产</w:t>
      </w:r>
      <w:r>
        <w:rPr>
          <w:rFonts w:ascii="Times New Roman" w:hAnsi="Times New Roman" w:eastAsia="仿宋_GB2312" w:cs="Times New Roman"/>
          <w:color w:val="auto"/>
          <w:sz w:val="32"/>
          <w:szCs w:val="32"/>
          <w:highlight w:val="none"/>
        </w:rPr>
        <w:t>评估师</w:t>
      </w:r>
      <w:r>
        <w:rPr>
          <w:rFonts w:hint="eastAsia" w:ascii="Times New Roman" w:hAnsi="Times New Roman" w:eastAsia="仿宋_GB2312" w:cs="Times New Roman"/>
          <w:color w:val="auto"/>
          <w:sz w:val="32"/>
          <w:szCs w:val="32"/>
          <w:highlight w:val="none"/>
        </w:rPr>
        <w:t>在</w:t>
      </w:r>
      <w:r>
        <w:rPr>
          <w:rFonts w:ascii="Times New Roman" w:hAnsi="Times New Roman" w:eastAsia="仿宋_GB2312" w:cs="Times New Roman"/>
          <w:color w:val="auto"/>
          <w:sz w:val="32"/>
          <w:szCs w:val="32"/>
          <w:highlight w:val="none"/>
        </w:rPr>
        <w:t>执行</w:t>
      </w:r>
      <w:r>
        <w:rPr>
          <w:rFonts w:hint="eastAsia" w:ascii="Times New Roman" w:hAnsi="Times New Roman" w:eastAsia="仿宋_GB2312" w:cs="Times New Roman"/>
          <w:color w:val="auto"/>
          <w:sz w:val="32"/>
          <w:szCs w:val="32"/>
          <w:highlight w:val="none"/>
        </w:rPr>
        <w:t>集成电路布图设计评估</w:t>
      </w:r>
      <w:r>
        <w:rPr>
          <w:rFonts w:ascii="Times New Roman" w:hAnsi="Times New Roman" w:eastAsia="仿宋_GB2312" w:cs="Times New Roman"/>
          <w:color w:val="auto"/>
          <w:sz w:val="32"/>
          <w:szCs w:val="32"/>
          <w:highlight w:val="none"/>
        </w:rPr>
        <w:t>业务</w:t>
      </w:r>
      <w:r>
        <w:rPr>
          <w:rFonts w:hint="eastAsia" w:ascii="Times New Roman" w:hAnsi="Times New Roman" w:eastAsia="仿宋_GB2312" w:cs="Times New Roman"/>
          <w:color w:val="auto"/>
          <w:sz w:val="32"/>
          <w:szCs w:val="32"/>
          <w:highlight w:val="none"/>
        </w:rPr>
        <w:t>时，</w:t>
      </w:r>
      <w:r>
        <w:rPr>
          <w:rFonts w:ascii="Times New Roman" w:hAnsi="Times New Roman" w:eastAsia="仿宋_GB2312" w:cs="Times New Roman"/>
          <w:color w:val="auto"/>
          <w:sz w:val="32"/>
          <w:szCs w:val="32"/>
          <w:highlight w:val="none"/>
        </w:rPr>
        <w:t>应当关注</w:t>
      </w:r>
      <w:r>
        <w:rPr>
          <w:rFonts w:hint="eastAsia" w:ascii="Times New Roman" w:hAnsi="Times New Roman" w:eastAsia="仿宋_GB2312" w:cs="Times New Roman"/>
          <w:color w:val="auto"/>
          <w:sz w:val="32"/>
          <w:szCs w:val="32"/>
          <w:highlight w:val="none"/>
        </w:rPr>
        <w:t>是否</w:t>
      </w:r>
      <w:r>
        <w:rPr>
          <w:rFonts w:ascii="Times New Roman" w:hAnsi="Times New Roman" w:eastAsia="仿宋_GB2312" w:cs="Times New Roman"/>
          <w:color w:val="auto"/>
          <w:sz w:val="32"/>
          <w:szCs w:val="32"/>
          <w:highlight w:val="none"/>
        </w:rPr>
        <w:t>存在</w:t>
      </w:r>
      <w:r>
        <w:rPr>
          <w:rFonts w:hint="eastAsia" w:ascii="Times New Roman" w:hAnsi="Times New Roman" w:eastAsia="仿宋_GB2312" w:cs="Times New Roman"/>
          <w:color w:val="auto"/>
          <w:sz w:val="32"/>
          <w:szCs w:val="32"/>
          <w:highlight w:val="none"/>
        </w:rPr>
        <w:t>反向工程、强制许可、独立创作</w:t>
      </w:r>
      <w:r>
        <w:rPr>
          <w:rFonts w:ascii="Times New Roman" w:hAnsi="Times New Roman" w:eastAsia="仿宋_GB2312" w:cs="Times New Roman"/>
          <w:color w:val="auto"/>
          <w:sz w:val="32"/>
          <w:szCs w:val="32"/>
          <w:highlight w:val="none"/>
        </w:rPr>
        <w:t>的相同</w:t>
      </w:r>
      <w:r>
        <w:rPr>
          <w:rFonts w:hint="eastAsia" w:ascii="Times New Roman" w:hAnsi="Times New Roman" w:eastAsia="仿宋_GB2312" w:cs="Times New Roman"/>
          <w:color w:val="auto"/>
          <w:sz w:val="32"/>
          <w:szCs w:val="32"/>
          <w:highlight w:val="none"/>
        </w:rPr>
        <w:t>设计等情况，</w:t>
      </w:r>
      <w:r>
        <w:rPr>
          <w:rFonts w:ascii="Times New Roman" w:hAnsi="Times New Roman" w:eastAsia="仿宋_GB2312" w:cs="Times New Roman"/>
          <w:color w:val="auto"/>
          <w:sz w:val="32"/>
          <w:szCs w:val="32"/>
          <w:highlight w:val="none"/>
        </w:rPr>
        <w:t>并</w:t>
      </w:r>
      <w:r>
        <w:rPr>
          <w:rFonts w:hint="eastAsia" w:ascii="Times New Roman" w:hAnsi="Times New Roman" w:eastAsia="仿宋_GB2312" w:cs="Times New Roman"/>
          <w:color w:val="auto"/>
          <w:sz w:val="32"/>
          <w:szCs w:val="32"/>
          <w:highlight w:val="none"/>
        </w:rPr>
        <w:t>考虑</w:t>
      </w:r>
      <w:r>
        <w:rPr>
          <w:rFonts w:ascii="Times New Roman" w:hAnsi="Times New Roman" w:eastAsia="仿宋_GB2312" w:cs="Times New Roman"/>
          <w:color w:val="auto"/>
          <w:sz w:val="32"/>
          <w:szCs w:val="32"/>
          <w:highlight w:val="none"/>
        </w:rPr>
        <w:t>其对评估</w:t>
      </w:r>
      <w:r>
        <w:rPr>
          <w:rFonts w:hint="eastAsia" w:ascii="Times New Roman" w:hAnsi="Times New Roman" w:eastAsia="仿宋_GB2312" w:cs="Times New Roman"/>
          <w:color w:val="auto"/>
          <w:sz w:val="32"/>
          <w:szCs w:val="32"/>
          <w:highlight w:val="none"/>
        </w:rPr>
        <w:t>结论</w:t>
      </w:r>
      <w:r>
        <w:rPr>
          <w:rFonts w:ascii="Times New Roman" w:hAnsi="Times New Roman" w:eastAsia="仿宋_GB2312" w:cs="Times New Roman"/>
          <w:color w:val="auto"/>
          <w:sz w:val="32"/>
          <w:szCs w:val="32"/>
          <w:highlight w:val="none"/>
        </w:rPr>
        <w:t>的影响</w:t>
      </w:r>
      <w:r>
        <w:rPr>
          <w:rFonts w:hint="eastAsia" w:ascii="Times New Roman" w:hAnsi="Times New Roman" w:eastAsia="仿宋_GB2312" w:cs="Times New Roman"/>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b/>
          <w:bCs/>
          <w:color w:val="auto"/>
          <w:sz w:val="32"/>
          <w:szCs w:val="32"/>
          <w:highlight w:val="none"/>
          <w:lang w:eastAsia="zh-CN"/>
        </w:rPr>
        <w:t>第二十四条</w:t>
      </w:r>
      <w:r>
        <w:rPr>
          <w:rFonts w:hint="eastAsia" w:ascii="Times New Roman" w:hAnsi="Times New Roman" w:eastAsia="仿宋_GB2312" w:cs="Times New Roman"/>
          <w:b/>
          <w:bCs/>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植物新品种，是指经过人工培育的或者对发现的野生植物加以开发，具备新颖性、特异性、一致性和稳定性</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并有适当命名的植物品种。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_GB2312"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植物新品种资产评估对象是指权利人所拥有的，能</w:t>
      </w:r>
      <w:r>
        <w:rPr>
          <w:rFonts w:hint="eastAsia" w:ascii="Times New Roman" w:hAnsi="Times New Roman" w:eastAsia="仿宋_GB2312" w:cs="Times New Roman"/>
          <w:color w:val="auto"/>
          <w:sz w:val="32"/>
          <w:szCs w:val="32"/>
          <w:highlight w:val="none"/>
          <w:lang w:eastAsia="zh-CN"/>
        </w:rPr>
        <w:t>够</w:t>
      </w:r>
      <w:r>
        <w:rPr>
          <w:rFonts w:hint="eastAsia" w:ascii="Times New Roman" w:hAnsi="Times New Roman" w:eastAsia="仿宋_GB2312" w:cs="Times New Roman"/>
          <w:color w:val="auto"/>
          <w:sz w:val="32"/>
          <w:szCs w:val="32"/>
          <w:highlight w:val="none"/>
        </w:rPr>
        <w:t>持续发挥作用</w:t>
      </w:r>
      <w:r>
        <w:rPr>
          <w:rFonts w:hint="eastAsia" w:ascii="仿宋_GB2312" w:hAnsi="Times New Roman" w:eastAsia="仿宋_GB2312" w:cs="Times New Roman"/>
          <w:color w:val="auto"/>
          <w:sz w:val="32"/>
          <w:szCs w:val="32"/>
          <w:highlight w:val="none"/>
        </w:rPr>
        <w:t>并且</w:t>
      </w:r>
      <w:r>
        <w:rPr>
          <w:rFonts w:hint="eastAsia" w:ascii="仿宋_GB2312" w:hAnsi="Times New Roman" w:eastAsia="仿宋_GB2312" w:cs="Times New Roman"/>
          <w:color w:val="auto"/>
          <w:sz w:val="32"/>
          <w:szCs w:val="32"/>
          <w:highlight w:val="none"/>
          <w:lang w:eastAsia="zh-CN"/>
        </w:rPr>
        <w:t>预期</w:t>
      </w:r>
      <w:r>
        <w:rPr>
          <w:rFonts w:hint="eastAsia" w:ascii="仿宋_GB2312" w:hAnsi="Times New Roman" w:eastAsia="仿宋_GB2312" w:cs="Times New Roman"/>
          <w:color w:val="auto"/>
          <w:sz w:val="32"/>
          <w:szCs w:val="32"/>
          <w:highlight w:val="none"/>
        </w:rPr>
        <w:t>能带来经济利益的由农业部门或</w:t>
      </w:r>
      <w:r>
        <w:rPr>
          <w:rFonts w:hint="eastAsia" w:ascii="仿宋_GB2312" w:hAnsi="Times New Roman" w:eastAsia="仿宋_GB2312" w:cs="Times New Roman"/>
          <w:color w:val="auto"/>
          <w:sz w:val="32"/>
          <w:szCs w:val="32"/>
          <w:highlight w:val="none"/>
          <w:lang w:eastAsia="zh-CN"/>
        </w:rPr>
        <w:t>者</w:t>
      </w:r>
      <w:r>
        <w:rPr>
          <w:rFonts w:hint="eastAsia" w:ascii="仿宋_GB2312" w:hAnsi="Times New Roman" w:eastAsia="仿宋_GB2312" w:cs="Times New Roman"/>
          <w:color w:val="auto"/>
          <w:sz w:val="32"/>
          <w:szCs w:val="32"/>
          <w:highlight w:val="none"/>
        </w:rPr>
        <w:t>林业部门授予的植物新品种权益。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_GB2312" w:hAnsi="Times New Roman" w:eastAsia="仿宋_GB2312" w:cs="Times New Roman"/>
          <w:color w:val="auto"/>
          <w:sz w:val="32"/>
          <w:szCs w:val="32"/>
          <w:highlight w:val="none"/>
        </w:rPr>
      </w:pPr>
      <w:bookmarkStart w:id="4" w:name="OLE_LINK8"/>
      <w:bookmarkStart w:id="5" w:name="OLE_LINK7"/>
      <w:bookmarkStart w:id="6" w:name="OLE_LINK3"/>
      <w:bookmarkStart w:id="7" w:name="OLE_LINK4"/>
      <w:r>
        <w:rPr>
          <w:rFonts w:hint="eastAsia" w:ascii="仿宋_GB2312" w:hAnsi="Times New Roman" w:eastAsia="仿宋_GB2312" w:cs="Times New Roman"/>
          <w:color w:val="auto"/>
          <w:sz w:val="32"/>
          <w:szCs w:val="32"/>
          <w:highlight w:val="none"/>
        </w:rPr>
        <w:t>资产评估师执行涉外转让植物新品种资产的评估业务，应当要求委托方提供包括相应审批机关</w:t>
      </w:r>
      <w:r>
        <w:rPr>
          <w:rFonts w:hint="eastAsia" w:ascii="Times New Roman" w:hAnsi="Times New Roman" w:eastAsia="仿宋_GB2312" w:cs="Times New Roman"/>
          <w:color w:val="auto"/>
          <w:sz w:val="32"/>
          <w:szCs w:val="32"/>
          <w:highlight w:val="none"/>
        </w:rPr>
        <w:t>予以登记的证明、相应审批机关同意转让的批准回复以及相应审批机关发布的转让公告等</w:t>
      </w:r>
      <w:r>
        <w:rPr>
          <w:rFonts w:ascii="Times New Roman" w:hAnsi="Times New Roman" w:eastAsia="仿宋_GB2312" w:cs="Times New Roman"/>
          <w:color w:val="auto"/>
          <w:sz w:val="32"/>
          <w:szCs w:val="32"/>
          <w:highlight w:val="none"/>
        </w:rPr>
        <w:t>经济行为</w:t>
      </w:r>
      <w:r>
        <w:rPr>
          <w:rFonts w:hint="eastAsia" w:ascii="Times New Roman" w:hAnsi="Times New Roman" w:eastAsia="仿宋_GB2312" w:cs="Times New Roman"/>
          <w:color w:val="auto"/>
          <w:sz w:val="32"/>
          <w:szCs w:val="32"/>
          <w:highlight w:val="none"/>
        </w:rPr>
        <w:t>依据。</w:t>
      </w:r>
      <w:bookmarkEnd w:id="4"/>
      <w:bookmarkEnd w:id="5"/>
    </w:p>
    <w:bookmarkEnd w:id="6"/>
    <w:bookmarkEnd w:id="7"/>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资产评估师执行植物新品种资产评估业务，应当考虑植物新品种是否已经相关部门审定、以及审定对植物新</w:t>
      </w:r>
      <w:r>
        <w:rPr>
          <w:rFonts w:hint="eastAsia" w:ascii="Times New Roman" w:hAnsi="Times New Roman" w:eastAsia="仿宋_GB2312" w:cs="Times New Roman"/>
          <w:color w:val="auto"/>
          <w:sz w:val="32"/>
          <w:szCs w:val="32"/>
          <w:highlight w:val="none"/>
        </w:rPr>
        <w:t>品种应用范围的限制。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b/>
          <w:bCs/>
          <w:color w:val="auto"/>
          <w:sz w:val="32"/>
          <w:szCs w:val="32"/>
          <w:highlight w:val="none"/>
          <w:lang w:eastAsia="zh-CN"/>
        </w:rPr>
        <w:t>第二十五条</w:t>
      </w:r>
      <w:r>
        <w:rPr>
          <w:rFonts w:hint="eastAsia" w:ascii="Times New Roman" w:hAnsi="Times New Roman" w:eastAsia="仿宋_GB2312" w:cs="Times New Roman"/>
          <w:b/>
          <w:bCs/>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资产评估师执行知识产权资产评估业务，应当根据评估目的、评估对象、价值类型、资料收集情况等相关条件，分析收益法、市场法和成本法三种资产评估基本方法的适用性，恰当选择一种或者多种资产评估方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b/>
          <w:bCs/>
          <w:color w:val="auto"/>
          <w:sz w:val="32"/>
          <w:szCs w:val="32"/>
          <w:highlight w:val="none"/>
          <w:lang w:eastAsia="zh-CN"/>
        </w:rPr>
        <w:t>第二十六条</w:t>
      </w:r>
      <w:r>
        <w:rPr>
          <w:rFonts w:hint="eastAsia" w:ascii="Times New Roman" w:hAnsi="Times New Roman" w:eastAsia="仿宋_GB2312" w:cs="Times New Roman"/>
          <w:b/>
          <w:bCs/>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资产评估师对同一知识产权资产采用多种评估方法评估时，应当对各种方法评估形成的初步结论进行综合分析，形成最终评估结论。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b/>
          <w:bCs/>
          <w:color w:val="auto"/>
          <w:sz w:val="32"/>
          <w:szCs w:val="32"/>
          <w:highlight w:val="none"/>
          <w:lang w:eastAsia="zh-CN"/>
        </w:rPr>
        <w:t>第二十七条</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资产评估师执行知识产权资产评估业务，应当在履行必要的评估程序后，根据《资产评估准则——评估报告》编制评估报告，并进行恰当披露，使评估报告使用者能够合理理解评估结论。</w:t>
      </w:r>
    </w:p>
    <w:p>
      <w:pPr>
        <w:pageBreakBefore w:val="0"/>
        <w:kinsoku/>
        <w:wordWrap/>
        <w:overflowPunct/>
        <w:topLinePunct w:val="0"/>
        <w:autoSpaceDN/>
        <w:bidi w:val="0"/>
        <w:spacing w:line="360" w:lineRule="auto"/>
        <w:ind w:right="0" w:rightChars="0" w:firstLine="640" w:firstLineChars="200"/>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（一）资产评估师应当在知识产权资产评估报告中反映知识产权资产的特点，通常包括以下内容：</w:t>
      </w:r>
    </w:p>
    <w:p>
      <w:pPr>
        <w:pageBreakBefore w:val="0"/>
        <w:kinsoku/>
        <w:wordWrap/>
        <w:overflowPunct/>
        <w:topLinePunct w:val="0"/>
        <w:autoSpaceDN/>
        <w:bidi w:val="0"/>
        <w:spacing w:line="360" w:lineRule="auto"/>
        <w:ind w:right="0" w:rightChars="0" w:firstLine="640" w:firstLineChars="200"/>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1.</w:t>
      </w:r>
      <w:r>
        <w:rPr>
          <w:rFonts w:hint="eastAsia" w:ascii="仿宋_GB2312" w:hAnsi="Times New Roman" w:eastAsia="仿宋_GB2312" w:cs="Times New Roman"/>
          <w:color w:val="auto"/>
          <w:sz w:val="32"/>
          <w:szCs w:val="32"/>
          <w:highlight w:val="none"/>
        </w:rPr>
        <w:t>知识产权资产</w:t>
      </w:r>
      <w:r>
        <w:rPr>
          <w:rFonts w:hint="eastAsia" w:ascii="Times New Roman" w:hAnsi="Times New Roman" w:eastAsia="仿宋_GB2312" w:cs="Times New Roman"/>
          <w:color w:val="auto"/>
          <w:sz w:val="32"/>
          <w:szCs w:val="32"/>
          <w:highlight w:val="none"/>
        </w:rPr>
        <w:t>的性质、权利状况及限制条件；</w:t>
      </w:r>
    </w:p>
    <w:p>
      <w:pPr>
        <w:pageBreakBefore w:val="0"/>
        <w:kinsoku/>
        <w:wordWrap/>
        <w:overflowPunct/>
        <w:topLinePunct w:val="0"/>
        <w:autoSpaceDN/>
        <w:bidi w:val="0"/>
        <w:spacing w:line="360" w:lineRule="auto"/>
        <w:ind w:right="0" w:rightChars="0" w:firstLine="640" w:firstLineChars="200"/>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2.</w:t>
      </w:r>
      <w:r>
        <w:rPr>
          <w:rFonts w:hint="eastAsia" w:ascii="仿宋_GB2312" w:hAnsi="Times New Roman" w:eastAsia="仿宋_GB2312" w:cs="Times New Roman"/>
          <w:color w:val="auto"/>
          <w:sz w:val="32"/>
          <w:szCs w:val="32"/>
          <w:highlight w:val="none"/>
        </w:rPr>
        <w:t>知识产权资产</w:t>
      </w:r>
      <w:r>
        <w:rPr>
          <w:rFonts w:hint="eastAsia" w:ascii="Times New Roman" w:hAnsi="Times New Roman" w:eastAsia="仿宋_GB2312" w:cs="Times New Roman"/>
          <w:color w:val="auto"/>
          <w:sz w:val="32"/>
          <w:szCs w:val="32"/>
          <w:highlight w:val="none"/>
        </w:rPr>
        <w:t>实施的地域限制、领域限制及法律法规限制条件；</w:t>
      </w:r>
    </w:p>
    <w:p>
      <w:pPr>
        <w:pageBreakBefore w:val="0"/>
        <w:kinsoku/>
        <w:wordWrap/>
        <w:overflowPunct/>
        <w:topLinePunct w:val="0"/>
        <w:autoSpaceDN/>
        <w:bidi w:val="0"/>
        <w:spacing w:line="360" w:lineRule="auto"/>
        <w:ind w:right="0" w:rightChars="0" w:firstLine="640" w:firstLineChars="200"/>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3.宏观经济和行业的前景；</w:t>
      </w:r>
    </w:p>
    <w:p>
      <w:pPr>
        <w:pageBreakBefore w:val="0"/>
        <w:kinsoku/>
        <w:wordWrap/>
        <w:overflowPunct/>
        <w:topLinePunct w:val="0"/>
        <w:autoSpaceDN/>
        <w:bidi w:val="0"/>
        <w:spacing w:line="360" w:lineRule="auto"/>
        <w:ind w:right="0" w:rightChars="0" w:firstLine="640" w:firstLineChars="200"/>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4.</w:t>
      </w:r>
      <w:r>
        <w:rPr>
          <w:rFonts w:hint="eastAsia" w:ascii="仿宋_GB2312" w:hAnsi="Times New Roman" w:eastAsia="仿宋_GB2312" w:cs="Times New Roman"/>
          <w:color w:val="auto"/>
          <w:sz w:val="32"/>
          <w:szCs w:val="32"/>
          <w:highlight w:val="none"/>
        </w:rPr>
        <w:t>知识产权资产</w:t>
      </w:r>
      <w:r>
        <w:rPr>
          <w:rFonts w:ascii="仿宋_GB2312" w:hAnsi="Times New Roman" w:eastAsia="仿宋_GB2312" w:cs="Times New Roman"/>
          <w:color w:val="auto"/>
          <w:sz w:val="32"/>
          <w:szCs w:val="32"/>
          <w:highlight w:val="none"/>
        </w:rPr>
        <w:t>应用</w:t>
      </w:r>
      <w:r>
        <w:rPr>
          <w:rFonts w:hint="eastAsia" w:ascii="Times New Roman" w:hAnsi="Times New Roman" w:eastAsia="仿宋_GB2312" w:cs="Times New Roman"/>
          <w:color w:val="auto"/>
          <w:sz w:val="32"/>
          <w:szCs w:val="32"/>
          <w:highlight w:val="none"/>
        </w:rPr>
        <w:t>的历史、现实状况与发展前景；</w:t>
      </w:r>
    </w:p>
    <w:p>
      <w:pPr>
        <w:pageBreakBefore w:val="0"/>
        <w:kinsoku/>
        <w:wordWrap/>
        <w:overflowPunct/>
        <w:topLinePunct w:val="0"/>
        <w:autoSpaceDN/>
        <w:bidi w:val="0"/>
        <w:spacing w:line="360" w:lineRule="auto"/>
        <w:ind w:right="0" w:rightChars="0" w:firstLine="640" w:firstLineChars="200"/>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5.</w:t>
      </w:r>
      <w:r>
        <w:rPr>
          <w:rFonts w:hint="eastAsia" w:ascii="仿宋_GB2312" w:hAnsi="Times New Roman" w:eastAsia="仿宋_GB2312" w:cs="Times New Roman"/>
          <w:color w:val="auto"/>
          <w:sz w:val="32"/>
          <w:szCs w:val="32"/>
          <w:highlight w:val="none"/>
        </w:rPr>
        <w:t>知识产权资产</w:t>
      </w:r>
      <w:r>
        <w:rPr>
          <w:rFonts w:hint="eastAsia" w:ascii="Times New Roman" w:hAnsi="Times New Roman" w:eastAsia="仿宋_GB2312" w:cs="Times New Roman"/>
          <w:color w:val="auto"/>
          <w:sz w:val="32"/>
          <w:szCs w:val="32"/>
          <w:highlight w:val="none"/>
        </w:rPr>
        <w:t>的获利期限；</w:t>
      </w:r>
    </w:p>
    <w:p>
      <w:pPr>
        <w:pageBreakBefore w:val="0"/>
        <w:kinsoku/>
        <w:wordWrap/>
        <w:overflowPunct/>
        <w:topLinePunct w:val="0"/>
        <w:autoSpaceDN/>
        <w:bidi w:val="0"/>
        <w:spacing w:line="360" w:lineRule="auto"/>
        <w:ind w:right="0" w:rightChars="0" w:firstLine="640" w:firstLineChars="200"/>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6.评估依据的信息来源；</w:t>
      </w:r>
    </w:p>
    <w:p>
      <w:pPr>
        <w:pageBreakBefore w:val="0"/>
        <w:kinsoku/>
        <w:wordWrap/>
        <w:overflowPunct/>
        <w:topLinePunct w:val="0"/>
        <w:autoSpaceDN/>
        <w:bidi w:val="0"/>
        <w:spacing w:line="360" w:lineRule="auto"/>
        <w:ind w:right="0" w:rightChars="0" w:firstLine="640" w:firstLineChars="200"/>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7.</w:t>
      </w:r>
      <w:r>
        <w:rPr>
          <w:rFonts w:ascii="Times New Roman" w:hAnsi="Times New Roman" w:eastAsia="仿宋_GB2312" w:cs="Times New Roman"/>
          <w:color w:val="auto"/>
          <w:sz w:val="32"/>
          <w:szCs w:val="32"/>
          <w:highlight w:val="none"/>
        </w:rPr>
        <w:t>其他必要信息。</w:t>
      </w:r>
    </w:p>
    <w:p>
      <w:pPr>
        <w:pageBreakBefore w:val="0"/>
        <w:numPr>
          <w:ilvl w:val="255"/>
          <w:numId w:val="0"/>
        </w:numPr>
        <w:kinsoku/>
        <w:wordWrap/>
        <w:overflowPunct/>
        <w:topLinePunct w:val="0"/>
        <w:autoSpaceDN/>
        <w:bidi w:val="0"/>
        <w:adjustRightInd w:val="0"/>
        <w:spacing w:line="360" w:lineRule="auto"/>
        <w:ind w:right="0" w:rightChars="0" w:firstLine="640" w:firstLineChars="200"/>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（二）资产评估师应当在评估报告中明确说明评估过程和</w:t>
      </w:r>
      <w:r>
        <w:rPr>
          <w:rFonts w:ascii="Times New Roman" w:hAnsi="Times New Roman" w:eastAsia="仿宋_GB2312" w:cs="Times New Roman"/>
          <w:color w:val="auto"/>
          <w:sz w:val="32"/>
          <w:szCs w:val="32"/>
          <w:highlight w:val="none"/>
        </w:rPr>
        <w:t>依据</w:t>
      </w:r>
      <w:r>
        <w:rPr>
          <w:rFonts w:hint="eastAsia" w:ascii="Times New Roman" w:hAnsi="Times New Roman" w:eastAsia="仿宋_GB2312" w:cs="Times New Roman"/>
          <w:color w:val="auto"/>
          <w:sz w:val="32"/>
          <w:szCs w:val="32"/>
          <w:highlight w:val="none"/>
        </w:rPr>
        <w:t>：</w:t>
      </w:r>
    </w:p>
    <w:p>
      <w:pPr>
        <w:pageBreakBefore w:val="0"/>
        <w:kinsoku/>
        <w:wordWrap/>
        <w:overflowPunct/>
        <w:topLinePunct w:val="0"/>
        <w:autoSpaceDN/>
        <w:bidi w:val="0"/>
        <w:spacing w:line="360" w:lineRule="auto"/>
        <w:ind w:right="0" w:rightChars="0" w:firstLine="640" w:firstLineChars="200"/>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1.价值类型的</w:t>
      </w:r>
      <w:r>
        <w:rPr>
          <w:rFonts w:ascii="Times New Roman" w:hAnsi="Times New Roman" w:eastAsia="仿宋_GB2312" w:cs="Times New Roman"/>
          <w:color w:val="auto"/>
          <w:sz w:val="32"/>
          <w:szCs w:val="32"/>
          <w:highlight w:val="none"/>
        </w:rPr>
        <w:t>选择</w:t>
      </w:r>
      <w:r>
        <w:rPr>
          <w:rFonts w:hint="eastAsia" w:ascii="Times New Roman" w:hAnsi="Times New Roman" w:eastAsia="仿宋_GB2312" w:cs="Times New Roman"/>
          <w:color w:val="auto"/>
          <w:sz w:val="32"/>
          <w:szCs w:val="32"/>
          <w:highlight w:val="none"/>
        </w:rPr>
        <w:t>及其定义；</w:t>
      </w:r>
    </w:p>
    <w:p>
      <w:pPr>
        <w:pageBreakBefore w:val="0"/>
        <w:kinsoku/>
        <w:wordWrap/>
        <w:overflowPunct/>
        <w:topLinePunct w:val="0"/>
        <w:autoSpaceDN/>
        <w:bidi w:val="0"/>
        <w:spacing w:line="360" w:lineRule="auto"/>
        <w:ind w:right="0" w:rightChars="0" w:firstLine="640" w:firstLineChars="200"/>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2.评估方法的选择及其理由；</w:t>
      </w:r>
    </w:p>
    <w:p>
      <w:pPr>
        <w:pageBreakBefore w:val="0"/>
        <w:kinsoku/>
        <w:wordWrap/>
        <w:overflowPunct/>
        <w:topLinePunct w:val="0"/>
        <w:autoSpaceDN/>
        <w:bidi w:val="0"/>
        <w:spacing w:line="360" w:lineRule="auto"/>
        <w:ind w:right="0" w:rightChars="0" w:firstLine="640" w:firstLineChars="200"/>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3.各重要参数的来源、分析、比较与测算过程；</w:t>
      </w:r>
    </w:p>
    <w:p>
      <w:pPr>
        <w:pageBreakBefore w:val="0"/>
        <w:kinsoku/>
        <w:wordWrap/>
        <w:overflowPunct/>
        <w:topLinePunct w:val="0"/>
        <w:autoSpaceDN/>
        <w:bidi w:val="0"/>
        <w:spacing w:line="360" w:lineRule="auto"/>
        <w:ind w:right="0" w:rightChars="0" w:firstLine="640" w:firstLineChars="200"/>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4.对初步评估结论进行分析，形成最终评估结论的过程；</w:t>
      </w:r>
    </w:p>
    <w:p>
      <w:pPr>
        <w:pageBreakBefore w:val="0"/>
        <w:kinsoku/>
        <w:wordWrap/>
        <w:overflowPunct/>
        <w:topLinePunct w:val="0"/>
        <w:autoSpaceDN/>
        <w:bidi w:val="0"/>
        <w:spacing w:line="360" w:lineRule="auto"/>
        <w:ind w:right="0" w:rightChars="0" w:firstLine="640" w:firstLineChars="200"/>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5.评估结论成立的假设前提和限制条件；</w:t>
      </w:r>
    </w:p>
    <w:p>
      <w:pPr>
        <w:pageBreakBefore w:val="0"/>
        <w:kinsoku/>
        <w:wordWrap/>
        <w:overflowPunct/>
        <w:topLinePunct w:val="0"/>
        <w:autoSpaceDN/>
        <w:bidi w:val="0"/>
        <w:spacing w:line="360" w:lineRule="auto"/>
        <w:ind w:right="0" w:rightChars="0" w:firstLine="640" w:firstLineChars="200"/>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6.</w:t>
      </w:r>
      <w:r>
        <w:rPr>
          <w:rFonts w:ascii="Times New Roman" w:hAnsi="Times New Roman" w:eastAsia="仿宋_GB2312" w:cs="Times New Roman"/>
          <w:color w:val="auto"/>
          <w:sz w:val="32"/>
          <w:szCs w:val="32"/>
          <w:highlight w:val="none"/>
        </w:rPr>
        <w:t>可能影响评估结论的特别事项</w:t>
      </w:r>
      <w:r>
        <w:rPr>
          <w:rFonts w:hint="eastAsia" w:ascii="Times New Roman" w:hAnsi="Times New Roman" w:eastAsia="仿宋_GB2312" w:cs="Times New Roman"/>
          <w:color w:val="auto"/>
          <w:sz w:val="32"/>
          <w:szCs w:val="32"/>
          <w:highlight w:val="none"/>
        </w:rPr>
        <w:t>。</w:t>
      </w:r>
    </w:p>
    <w:p>
      <w:pPr>
        <w:keepNext/>
        <w:keepLines/>
        <w:pageBreakBefore w:val="0"/>
        <w:numPr>
          <w:ilvl w:val="0"/>
          <w:numId w:val="1"/>
        </w:numPr>
        <w:kinsoku/>
        <w:wordWrap/>
        <w:overflowPunct/>
        <w:topLinePunct w:val="0"/>
        <w:autoSpaceDN/>
        <w:bidi w:val="0"/>
        <w:spacing w:line="360" w:lineRule="auto"/>
        <w:ind w:left="0" w:leftChars="0" w:right="0" w:rightChars="0" w:firstLine="0" w:firstLineChars="0"/>
        <w:jc w:val="center"/>
        <w:textAlignment w:val="auto"/>
        <w:outlineLvl w:val="1"/>
        <w:rPr>
          <w:rFonts w:ascii="Calibri Light" w:hAnsi="Calibri Light" w:eastAsia="宋体" w:cs="黑体"/>
          <w:b/>
          <w:bCs/>
          <w:color w:val="auto"/>
          <w:sz w:val="32"/>
          <w:szCs w:val="32"/>
          <w:highlight w:val="none"/>
        </w:rPr>
      </w:pPr>
      <w:r>
        <w:rPr>
          <w:rFonts w:hint="eastAsia" w:ascii="仿宋_GB2312" w:hAnsi="Calibri Light" w:eastAsia="仿宋_GB2312" w:cs="黑体"/>
          <w:b/>
          <w:bCs/>
          <w:color w:val="auto"/>
          <w:sz w:val="32"/>
          <w:szCs w:val="32"/>
          <w:highlight w:val="none"/>
        </w:rPr>
        <w:t>以转让或者许可使用为目的的知识产权资产评估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b/>
          <w:bCs/>
          <w:color w:val="auto"/>
          <w:sz w:val="32"/>
          <w:szCs w:val="32"/>
          <w:highlight w:val="none"/>
          <w:lang w:eastAsia="zh-CN"/>
        </w:rPr>
        <w:t>第二十八条</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资产评估师执行以转让或者</w:t>
      </w:r>
      <w:r>
        <w:rPr>
          <w:rFonts w:ascii="Times New Roman" w:hAnsi="Times New Roman" w:eastAsia="仿宋_GB2312" w:cs="Times New Roman"/>
          <w:color w:val="auto"/>
          <w:sz w:val="32"/>
          <w:szCs w:val="32"/>
          <w:highlight w:val="none"/>
        </w:rPr>
        <w:t>许可使用</w:t>
      </w:r>
      <w:r>
        <w:rPr>
          <w:rFonts w:hint="eastAsia" w:ascii="Times New Roman" w:hAnsi="Times New Roman" w:eastAsia="仿宋_GB2312" w:cs="Times New Roman"/>
          <w:color w:val="auto"/>
          <w:sz w:val="32"/>
          <w:szCs w:val="32"/>
          <w:highlight w:val="none"/>
        </w:rPr>
        <w:t>为目的的知识产权资产评估业务，应当知晓评估</w:t>
      </w:r>
      <w:r>
        <w:rPr>
          <w:rFonts w:ascii="Times New Roman" w:hAnsi="Times New Roman" w:eastAsia="仿宋_GB2312" w:cs="Times New Roman"/>
          <w:color w:val="auto"/>
          <w:sz w:val="32"/>
          <w:szCs w:val="32"/>
          <w:highlight w:val="none"/>
        </w:rPr>
        <w:t>对象通常为</w:t>
      </w:r>
      <w:r>
        <w:rPr>
          <w:rFonts w:ascii="仿宋_GB2312" w:hAnsi="Times New Roman" w:eastAsia="仿宋_GB2312" w:cs="Times New Roman"/>
          <w:color w:val="auto"/>
          <w:sz w:val="32"/>
          <w:szCs w:val="32"/>
          <w:highlight w:val="none"/>
        </w:rPr>
        <w:t>知识产权</w:t>
      </w:r>
      <w:r>
        <w:rPr>
          <w:rFonts w:hint="eastAsia" w:ascii="仿宋_GB2312" w:hAnsi="Times New Roman" w:eastAsia="仿宋_GB2312" w:cs="Times New Roman"/>
          <w:color w:val="auto"/>
          <w:sz w:val="32"/>
          <w:szCs w:val="32"/>
          <w:highlight w:val="none"/>
        </w:rPr>
        <w:t>资产</w:t>
      </w:r>
      <w:r>
        <w:rPr>
          <w:rFonts w:ascii="Times New Roman" w:hAnsi="Times New Roman" w:eastAsia="仿宋_GB2312" w:cs="Times New Roman"/>
          <w:color w:val="auto"/>
          <w:sz w:val="32"/>
          <w:szCs w:val="32"/>
          <w:highlight w:val="none"/>
        </w:rPr>
        <w:t>的所有权</w:t>
      </w:r>
      <w:r>
        <w:rPr>
          <w:rFonts w:hint="eastAsia" w:ascii="Times New Roman" w:hAnsi="Times New Roman" w:eastAsia="仿宋_GB2312" w:cs="Times New Roman"/>
          <w:color w:val="auto"/>
          <w:sz w:val="32"/>
          <w:szCs w:val="32"/>
          <w:highlight w:val="none"/>
        </w:rPr>
        <w:t>或者</w:t>
      </w:r>
      <w:r>
        <w:rPr>
          <w:rFonts w:ascii="Times New Roman" w:hAnsi="Times New Roman" w:eastAsia="仿宋_GB2312" w:cs="Times New Roman"/>
          <w:color w:val="auto"/>
          <w:sz w:val="32"/>
          <w:szCs w:val="32"/>
          <w:highlight w:val="none"/>
        </w:rPr>
        <w:t>使用权</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并</w:t>
      </w:r>
      <w:r>
        <w:rPr>
          <w:rFonts w:hint="eastAsia" w:ascii="Times New Roman" w:hAnsi="Times New Roman" w:eastAsia="仿宋_GB2312" w:cs="Times New Roman"/>
          <w:color w:val="auto"/>
          <w:sz w:val="32"/>
          <w:szCs w:val="32"/>
          <w:highlight w:val="none"/>
        </w:rPr>
        <w:t>要求委托方明确评估对象。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b/>
          <w:bCs/>
          <w:color w:val="auto"/>
          <w:sz w:val="32"/>
          <w:szCs w:val="32"/>
          <w:highlight w:val="none"/>
          <w:lang w:eastAsia="zh-CN"/>
        </w:rPr>
        <w:t>第二十九条</w:t>
      </w:r>
      <w:r>
        <w:rPr>
          <w:rFonts w:hint="eastAsia" w:ascii="Times New Roman" w:hAnsi="Times New Roman" w:eastAsia="仿宋_GB2312" w:cs="Times New Roman"/>
          <w:b/>
          <w:bCs/>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资产评估师执行以转让或者</w:t>
      </w:r>
      <w:r>
        <w:rPr>
          <w:rFonts w:ascii="Times New Roman" w:hAnsi="Times New Roman" w:eastAsia="仿宋_GB2312" w:cs="Times New Roman"/>
          <w:color w:val="auto"/>
          <w:sz w:val="32"/>
          <w:szCs w:val="32"/>
          <w:highlight w:val="none"/>
        </w:rPr>
        <w:t>许可使用</w:t>
      </w:r>
      <w:r>
        <w:rPr>
          <w:rFonts w:hint="eastAsia" w:ascii="Times New Roman" w:hAnsi="Times New Roman" w:eastAsia="仿宋_GB2312" w:cs="Times New Roman"/>
          <w:color w:val="auto"/>
          <w:sz w:val="32"/>
          <w:szCs w:val="32"/>
          <w:highlight w:val="none"/>
        </w:rPr>
        <w:t>为目的的知识产权资产评估业务，应当充分考虑评估目的、市场条件、评估对象自身条件等因素，恰当选择价值类型。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以转让为目的的知识产权资产评估价值类型通常采用市场价值或者投资价值。以许可</w:t>
      </w:r>
      <w:r>
        <w:rPr>
          <w:rFonts w:ascii="Times New Roman" w:hAnsi="Times New Roman" w:eastAsia="仿宋_GB2312" w:cs="Times New Roman"/>
          <w:color w:val="auto"/>
          <w:sz w:val="32"/>
          <w:szCs w:val="32"/>
          <w:highlight w:val="none"/>
        </w:rPr>
        <w:t>使用为目的的</w:t>
      </w:r>
      <w:r>
        <w:rPr>
          <w:rFonts w:hint="eastAsia" w:ascii="Times New Roman" w:hAnsi="Times New Roman" w:eastAsia="仿宋_GB2312" w:cs="Times New Roman"/>
          <w:color w:val="auto"/>
          <w:sz w:val="32"/>
          <w:szCs w:val="32"/>
          <w:highlight w:val="none"/>
        </w:rPr>
        <w:t>知识产权资产评估价值类型通常采用市场价值。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b/>
          <w:bCs/>
          <w:color w:val="auto"/>
          <w:sz w:val="32"/>
          <w:szCs w:val="32"/>
          <w:highlight w:val="none"/>
          <w:lang w:eastAsia="zh-CN"/>
        </w:rPr>
        <w:t>第三十条</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资产评估师执行以转让为目的的知识产权资产评估业务，应当关注委托方已经确定的转让方式和转让价款的支付方式等因素，合理确定其对评估结论的影响，并在评估报告中披露转让方式等事项。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b/>
          <w:bCs/>
          <w:color w:val="auto"/>
          <w:sz w:val="32"/>
          <w:szCs w:val="32"/>
          <w:highlight w:val="none"/>
          <w:lang w:eastAsia="zh-CN"/>
        </w:rPr>
        <w:t>第三十一条</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资产评估师执行以许可使用为目的的知识产权资产评估业务，应当关注许可使用</w:t>
      </w:r>
      <w:r>
        <w:rPr>
          <w:rFonts w:ascii="Times New Roman" w:hAnsi="Times New Roman" w:eastAsia="仿宋_GB2312" w:cs="Times New Roman"/>
          <w:color w:val="auto"/>
          <w:sz w:val="32"/>
          <w:szCs w:val="32"/>
          <w:highlight w:val="none"/>
        </w:rPr>
        <w:t>的具体形式</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许可使用费支付方式、许可使用期限</w:t>
      </w:r>
      <w:r>
        <w:rPr>
          <w:rFonts w:hint="eastAsia" w:ascii="Times New Roman" w:hAnsi="Times New Roman" w:eastAsia="仿宋_GB2312" w:cs="Times New Roman"/>
          <w:color w:val="auto"/>
          <w:sz w:val="32"/>
          <w:szCs w:val="32"/>
          <w:highlight w:val="none"/>
        </w:rPr>
        <w:t>和</w:t>
      </w:r>
      <w:r>
        <w:rPr>
          <w:rFonts w:ascii="Times New Roman" w:hAnsi="Times New Roman" w:eastAsia="仿宋_GB2312" w:cs="Times New Roman"/>
          <w:color w:val="auto"/>
          <w:sz w:val="32"/>
          <w:szCs w:val="32"/>
          <w:highlight w:val="none"/>
        </w:rPr>
        <w:t>范围等</w:t>
      </w:r>
      <w:r>
        <w:rPr>
          <w:rFonts w:hint="eastAsia" w:ascii="Times New Roman" w:hAnsi="Times New Roman" w:eastAsia="仿宋_GB2312" w:cs="Times New Roman"/>
          <w:color w:val="auto"/>
          <w:sz w:val="32"/>
          <w:szCs w:val="32"/>
          <w:highlight w:val="none"/>
        </w:rPr>
        <w:t>，合理确定其对评估结论的影响，并在评估报告中披露许可使用</w:t>
      </w:r>
      <w:r>
        <w:rPr>
          <w:rFonts w:ascii="Times New Roman" w:hAnsi="Times New Roman" w:eastAsia="仿宋_GB2312" w:cs="Times New Roman"/>
          <w:color w:val="auto"/>
          <w:sz w:val="32"/>
          <w:szCs w:val="32"/>
          <w:highlight w:val="none"/>
        </w:rPr>
        <w:t>的具体形式</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许可使用费支付方式、许可使用期限</w:t>
      </w:r>
      <w:r>
        <w:rPr>
          <w:rFonts w:hint="eastAsia" w:ascii="Times New Roman" w:hAnsi="Times New Roman" w:eastAsia="仿宋_GB2312" w:cs="Times New Roman"/>
          <w:color w:val="auto"/>
          <w:sz w:val="32"/>
          <w:szCs w:val="32"/>
          <w:highlight w:val="none"/>
        </w:rPr>
        <w:t>和</w:t>
      </w:r>
      <w:r>
        <w:rPr>
          <w:rFonts w:ascii="Times New Roman" w:hAnsi="Times New Roman" w:eastAsia="仿宋_GB2312" w:cs="Times New Roman"/>
          <w:color w:val="auto"/>
          <w:sz w:val="32"/>
          <w:szCs w:val="32"/>
          <w:highlight w:val="none"/>
        </w:rPr>
        <w:t>范围等</w:t>
      </w:r>
      <w:r>
        <w:rPr>
          <w:rFonts w:hint="eastAsia" w:ascii="Times New Roman" w:hAnsi="Times New Roman" w:eastAsia="仿宋_GB2312" w:cs="Times New Roman"/>
          <w:color w:val="auto"/>
          <w:sz w:val="32"/>
          <w:szCs w:val="32"/>
          <w:highlight w:val="none"/>
        </w:rPr>
        <w:t>。</w:t>
      </w:r>
    </w:p>
    <w:p>
      <w:pPr>
        <w:keepNext/>
        <w:keepLines/>
        <w:pageBreakBefore w:val="0"/>
        <w:numPr>
          <w:ilvl w:val="0"/>
          <w:numId w:val="1"/>
        </w:numPr>
        <w:kinsoku/>
        <w:wordWrap/>
        <w:overflowPunct/>
        <w:topLinePunct w:val="0"/>
        <w:autoSpaceDN/>
        <w:bidi w:val="0"/>
        <w:spacing w:line="360" w:lineRule="auto"/>
        <w:ind w:right="0" w:rightChars="0" w:firstLine="643" w:firstLineChars="200"/>
        <w:jc w:val="center"/>
        <w:textAlignment w:val="auto"/>
        <w:outlineLvl w:val="1"/>
        <w:rPr>
          <w:rFonts w:ascii="仿宋_GB2312" w:hAnsi="Calibri Light" w:eastAsia="仿宋_GB2312" w:cs="黑体"/>
          <w:b/>
          <w:bCs/>
          <w:color w:val="auto"/>
          <w:sz w:val="32"/>
          <w:szCs w:val="32"/>
          <w:highlight w:val="none"/>
        </w:rPr>
      </w:pPr>
      <w:r>
        <w:rPr>
          <w:rFonts w:hint="eastAsia" w:ascii="仿宋_GB2312" w:hAnsi="Calibri Light" w:eastAsia="仿宋_GB2312" w:cs="黑体"/>
          <w:b/>
          <w:bCs/>
          <w:color w:val="auto"/>
          <w:sz w:val="32"/>
          <w:szCs w:val="32"/>
          <w:highlight w:val="none"/>
        </w:rPr>
        <w:t>以出资为目的的知识产权资产评估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b/>
          <w:bCs/>
          <w:color w:val="auto"/>
          <w:sz w:val="32"/>
          <w:szCs w:val="32"/>
          <w:highlight w:val="none"/>
          <w:lang w:eastAsia="zh-CN"/>
        </w:rPr>
        <w:t>第三十二条</w:t>
      </w:r>
      <w:r>
        <w:rPr>
          <w:rFonts w:hint="eastAsia" w:ascii="仿宋_GB2312" w:hAnsi="Times New Roman" w:eastAsia="仿宋_GB2312" w:cs="Times New Roman"/>
          <w:b/>
          <w:bCs/>
          <w:color w:val="auto"/>
          <w:sz w:val="32"/>
          <w:szCs w:val="32"/>
          <w:highlight w:val="none"/>
          <w:lang w:val="en-US" w:eastAsia="zh-CN"/>
        </w:rPr>
        <w:t xml:space="preserve"> </w:t>
      </w:r>
      <w:r>
        <w:rPr>
          <w:rFonts w:hint="eastAsia" w:ascii="仿宋_GB2312" w:hAnsi="Times New Roman" w:eastAsia="仿宋_GB2312" w:cs="Times New Roman"/>
          <w:color w:val="auto"/>
          <w:sz w:val="32"/>
          <w:szCs w:val="32"/>
          <w:highlight w:val="none"/>
          <w:lang w:val="en-US" w:eastAsia="zh-CN"/>
        </w:rPr>
        <w:t xml:space="preserve"> </w:t>
      </w:r>
      <w:r>
        <w:rPr>
          <w:rFonts w:hint="eastAsia" w:ascii="仿宋_GB2312" w:hAnsi="Times New Roman" w:eastAsia="仿宋_GB2312" w:cs="Times New Roman"/>
          <w:color w:val="auto"/>
          <w:sz w:val="32"/>
          <w:szCs w:val="32"/>
          <w:highlight w:val="none"/>
        </w:rPr>
        <w:t>资产评估师执行以出资为目的的知识产权资产评估业务，应当熟悉知识产权管理部门以及工商管理部门关于知识产权出资的有关规定。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b/>
          <w:bCs/>
          <w:color w:val="auto"/>
          <w:sz w:val="32"/>
          <w:szCs w:val="32"/>
          <w:highlight w:val="none"/>
          <w:lang w:eastAsia="zh-CN"/>
        </w:rPr>
        <w:t>第三十三条</w:t>
      </w:r>
      <w:r>
        <w:rPr>
          <w:rFonts w:hint="eastAsia" w:ascii="仿宋_GB2312" w:hAnsi="Times New Roman" w:eastAsia="仿宋_GB2312" w:cs="Times New Roman"/>
          <w:b/>
          <w:bCs/>
          <w:color w:val="auto"/>
          <w:sz w:val="32"/>
          <w:szCs w:val="32"/>
          <w:highlight w:val="none"/>
          <w:lang w:val="en-US" w:eastAsia="zh-CN"/>
        </w:rPr>
        <w:t xml:space="preserve"> </w:t>
      </w:r>
      <w:r>
        <w:rPr>
          <w:rFonts w:hint="eastAsia" w:ascii="仿宋_GB2312" w:hAnsi="Times New Roman" w:eastAsia="仿宋_GB2312" w:cs="Times New Roman"/>
          <w:color w:val="auto"/>
          <w:sz w:val="32"/>
          <w:szCs w:val="32"/>
          <w:highlight w:val="none"/>
          <w:lang w:val="en-US" w:eastAsia="zh-CN"/>
        </w:rPr>
        <w:t xml:space="preserve"> </w:t>
      </w:r>
      <w:r>
        <w:rPr>
          <w:rFonts w:hint="eastAsia" w:ascii="仿宋_GB2312" w:hAnsi="Times New Roman" w:eastAsia="仿宋_GB2312" w:cs="Times New Roman"/>
          <w:color w:val="auto"/>
          <w:sz w:val="32"/>
          <w:szCs w:val="32"/>
          <w:highlight w:val="none"/>
        </w:rPr>
        <w:t>以出资为目的的知识产权资产评估业务包括：</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（一）工商登记受理的有限责任公司或者股份有限公司设立或者增资时，对作为股东或者发起人出资的知识产权资产进行的评估；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（二</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工商登记受理的其他非公司法人类型企业所涉及的以知识产权资产出资的评估；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（三）相关法律法规规定的其他需要进行知识产权资产评估的事项。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仿宋_GB2312" w:hAnsi="Times New Roman" w:eastAsia="仿宋_GB2312" w:cs="Times New Roman"/>
          <w:b/>
          <w:bCs/>
          <w:color w:val="auto"/>
          <w:sz w:val="32"/>
          <w:szCs w:val="32"/>
          <w:highlight w:val="none"/>
          <w:lang w:eastAsia="zh-CN"/>
        </w:rPr>
        <w:t>第三十四条</w:t>
      </w:r>
      <w:r>
        <w:rPr>
          <w:rFonts w:hint="eastAsia" w:ascii="仿宋_GB2312" w:hAnsi="Times New Roman" w:eastAsia="仿宋_GB2312" w:cs="Times New Roman"/>
          <w:b/>
          <w:bCs/>
          <w:color w:val="auto"/>
          <w:sz w:val="32"/>
          <w:szCs w:val="32"/>
          <w:highlight w:val="none"/>
          <w:lang w:val="en-US" w:eastAsia="zh-CN"/>
        </w:rPr>
        <w:t xml:space="preserve"> </w:t>
      </w:r>
      <w:r>
        <w:rPr>
          <w:rFonts w:hint="eastAsia" w:ascii="仿宋_GB2312" w:hAnsi="Times New Roman" w:eastAsia="仿宋_GB2312" w:cs="Times New Roman"/>
          <w:color w:val="auto"/>
          <w:sz w:val="32"/>
          <w:szCs w:val="32"/>
          <w:highlight w:val="none"/>
          <w:lang w:val="en-US" w:eastAsia="zh-CN"/>
        </w:rPr>
        <w:t xml:space="preserve"> </w:t>
      </w:r>
      <w:r>
        <w:rPr>
          <w:rFonts w:hint="eastAsia" w:ascii="仿宋_GB2312" w:hAnsi="Times New Roman" w:eastAsia="仿宋_GB2312" w:cs="Times New Roman"/>
          <w:color w:val="auto"/>
          <w:sz w:val="32"/>
          <w:szCs w:val="32"/>
          <w:highlight w:val="none"/>
        </w:rPr>
        <w:t>资产评估师应当知晓,知识产权出资,应当</w:t>
      </w:r>
      <w:r>
        <w:rPr>
          <w:rFonts w:hint="eastAsia" w:ascii="Times New Roman" w:hAnsi="Times New Roman" w:eastAsia="仿宋_GB2312" w:cs="Times New Roman"/>
          <w:color w:val="auto"/>
          <w:sz w:val="32"/>
          <w:szCs w:val="32"/>
          <w:highlight w:val="none"/>
        </w:rPr>
        <w:t>符合《公司法》、《公司登记管理条例》、《公司注册资本登记管理规定》等相关法律</w:t>
      </w:r>
      <w:r>
        <w:rPr>
          <w:rFonts w:ascii="Times New Roman" w:hAnsi="Times New Roman" w:eastAsia="仿宋_GB2312" w:cs="Times New Roman"/>
          <w:color w:val="auto"/>
          <w:sz w:val="32"/>
          <w:szCs w:val="32"/>
          <w:highlight w:val="none"/>
        </w:rPr>
        <w:t>法规</w:t>
      </w:r>
      <w:r>
        <w:rPr>
          <w:rFonts w:hint="eastAsia" w:ascii="Times New Roman" w:hAnsi="Times New Roman" w:eastAsia="仿宋_GB2312" w:cs="Times New Roman"/>
          <w:color w:val="auto"/>
          <w:sz w:val="32"/>
          <w:szCs w:val="32"/>
          <w:highlight w:val="none"/>
        </w:rPr>
        <w:t>的要求。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b/>
          <w:bCs/>
          <w:color w:val="auto"/>
          <w:sz w:val="32"/>
          <w:szCs w:val="32"/>
          <w:highlight w:val="none"/>
          <w:lang w:eastAsia="zh-CN"/>
        </w:rPr>
        <w:t>第三十五条</w:t>
      </w:r>
      <w:r>
        <w:rPr>
          <w:rFonts w:hint="eastAsia" w:ascii="仿宋_GB2312" w:hAnsi="Times New Roman" w:eastAsia="仿宋_GB2312" w:cs="Times New Roman"/>
          <w:color w:val="auto"/>
          <w:sz w:val="32"/>
          <w:szCs w:val="32"/>
          <w:highlight w:val="none"/>
          <w:lang w:val="en-US" w:eastAsia="zh-CN"/>
        </w:rPr>
        <w:t xml:space="preserve">  </w:t>
      </w:r>
      <w:r>
        <w:rPr>
          <w:rFonts w:hint="eastAsia" w:ascii="仿宋_GB2312" w:hAnsi="Times New Roman" w:eastAsia="仿宋_GB2312" w:cs="Times New Roman"/>
          <w:color w:val="auto"/>
          <w:sz w:val="32"/>
          <w:szCs w:val="32"/>
          <w:highlight w:val="none"/>
        </w:rPr>
        <w:t>资产评估师应当关注评估对象是否可以用于出资，但是不得对评估对象是否可以作为出资资产进行确认或者发表意见。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仿宋_GB2312" w:hAnsi="Times New Roman" w:eastAsia="仿宋_GB2312" w:cs="Times New Roman"/>
          <w:b/>
          <w:bCs/>
          <w:color w:val="auto"/>
          <w:sz w:val="32"/>
          <w:szCs w:val="32"/>
          <w:highlight w:val="none"/>
          <w:lang w:eastAsia="zh-CN"/>
        </w:rPr>
        <w:t>第三十六条</w:t>
      </w:r>
      <w:r>
        <w:rPr>
          <w:rFonts w:hint="eastAsia" w:ascii="仿宋_GB2312" w:hAnsi="Times New Roman" w:eastAsia="仿宋_GB2312" w:cs="Times New Roman"/>
          <w:color w:val="auto"/>
          <w:sz w:val="32"/>
          <w:szCs w:val="32"/>
          <w:highlight w:val="none"/>
          <w:lang w:val="en-US" w:eastAsia="zh-CN"/>
        </w:rPr>
        <w:t xml:space="preserve">  </w:t>
      </w:r>
      <w:r>
        <w:rPr>
          <w:rFonts w:hint="eastAsia" w:ascii="仿宋_GB2312" w:hAnsi="Times New Roman" w:eastAsia="仿宋_GB2312" w:cs="Times New Roman"/>
          <w:color w:val="auto"/>
          <w:sz w:val="32"/>
          <w:szCs w:val="32"/>
          <w:highlight w:val="none"/>
        </w:rPr>
        <w:t>对重组、改制企业的知识产权资产进行评估时，资产评估</w:t>
      </w:r>
      <w:r>
        <w:rPr>
          <w:rFonts w:hint="eastAsia" w:ascii="Times New Roman" w:hAnsi="Times New Roman" w:eastAsia="仿宋_GB2312" w:cs="Times New Roman"/>
          <w:color w:val="auto"/>
          <w:sz w:val="32"/>
          <w:szCs w:val="32"/>
          <w:highlight w:val="none"/>
        </w:rPr>
        <w:t>师应当关注的内容通常包括：</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（一）资产的权利人与出资人是否一致；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（二）出资人的经济行为是否需经批准，并经相关管理部门审查同意；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（三）设定他项权利的资产是否与其相对应的负债分离；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（四）企业重组、改制方案以及批复文件和相关法律意见书等。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b/>
          <w:bCs/>
          <w:color w:val="auto"/>
          <w:sz w:val="32"/>
          <w:szCs w:val="32"/>
          <w:highlight w:val="none"/>
          <w:lang w:eastAsia="zh-CN"/>
        </w:rPr>
        <w:t>第三十七条</w:t>
      </w:r>
      <w:r>
        <w:rPr>
          <w:rFonts w:hint="eastAsia" w:ascii="仿宋_GB2312" w:hAnsi="Times New Roman" w:eastAsia="仿宋_GB2312" w:cs="Times New Roman"/>
          <w:color w:val="auto"/>
          <w:sz w:val="32"/>
          <w:szCs w:val="32"/>
          <w:highlight w:val="none"/>
          <w:lang w:val="en-US" w:eastAsia="zh-CN"/>
        </w:rPr>
        <w:t xml:space="preserve">  </w:t>
      </w:r>
      <w:r>
        <w:rPr>
          <w:rFonts w:hint="eastAsia" w:ascii="仿宋_GB2312" w:hAnsi="Times New Roman" w:eastAsia="仿宋_GB2312" w:cs="Times New Roman"/>
          <w:color w:val="auto"/>
          <w:sz w:val="32"/>
          <w:szCs w:val="32"/>
          <w:highlight w:val="none"/>
        </w:rPr>
        <w:t>资产评估师应当关注评估对象可使用期限对其价值的影响，结合知识产权资产法定保护期限以及受益期限评估其价值。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b/>
          <w:bCs/>
          <w:color w:val="auto"/>
          <w:sz w:val="32"/>
          <w:szCs w:val="32"/>
          <w:highlight w:val="none"/>
          <w:lang w:eastAsia="zh-CN"/>
        </w:rPr>
        <w:t>第三十八条</w:t>
      </w:r>
      <w:r>
        <w:rPr>
          <w:rFonts w:hint="eastAsia" w:ascii="仿宋_GB2312" w:hAnsi="Times New Roman" w:eastAsia="仿宋_GB2312" w:cs="Times New Roman"/>
          <w:color w:val="auto"/>
          <w:sz w:val="32"/>
          <w:szCs w:val="32"/>
          <w:highlight w:val="none"/>
          <w:lang w:val="en-US" w:eastAsia="zh-CN"/>
        </w:rPr>
        <w:t xml:space="preserve">  </w:t>
      </w:r>
      <w:r>
        <w:rPr>
          <w:rFonts w:hint="eastAsia" w:ascii="仿宋_GB2312" w:hAnsi="Times New Roman" w:eastAsia="仿宋_GB2312" w:cs="Times New Roman"/>
          <w:color w:val="auto"/>
          <w:sz w:val="32"/>
          <w:szCs w:val="32"/>
          <w:highlight w:val="none"/>
        </w:rPr>
        <w:t>资产评估师采用收益法评估知识产权资产时，应当结合</w:t>
      </w:r>
      <w:r>
        <w:rPr>
          <w:rFonts w:ascii="仿宋_GB2312" w:hAnsi="Times New Roman" w:eastAsia="仿宋_GB2312" w:cs="Times New Roman"/>
          <w:color w:val="auto"/>
          <w:sz w:val="32"/>
          <w:szCs w:val="32"/>
          <w:highlight w:val="none"/>
        </w:rPr>
        <w:t>出资目的</w:t>
      </w:r>
      <w:r>
        <w:rPr>
          <w:rFonts w:hint="eastAsia" w:ascii="仿宋_GB2312" w:hAnsi="Times New Roman" w:eastAsia="仿宋_GB2312" w:cs="Times New Roman"/>
          <w:color w:val="auto"/>
          <w:sz w:val="32"/>
          <w:szCs w:val="32"/>
          <w:highlight w:val="none"/>
        </w:rPr>
        <w:t>实现后评估对象合理的生产规模、市场份额、技术及管理水平等因素，综合判断未来收益预测的合理性。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b/>
          <w:bCs/>
          <w:color w:val="auto"/>
          <w:sz w:val="32"/>
          <w:szCs w:val="32"/>
          <w:highlight w:val="none"/>
          <w:lang w:eastAsia="zh-CN"/>
        </w:rPr>
        <w:t>第三十九条</w:t>
      </w:r>
      <w:r>
        <w:rPr>
          <w:rFonts w:hint="eastAsia" w:ascii="仿宋_GB2312" w:hAnsi="Times New Roman" w:eastAsia="仿宋_GB2312" w:cs="Times New Roman"/>
          <w:color w:val="auto"/>
          <w:sz w:val="32"/>
          <w:szCs w:val="32"/>
          <w:highlight w:val="none"/>
          <w:lang w:val="en-US" w:eastAsia="zh-CN"/>
        </w:rPr>
        <w:t xml:space="preserve">  </w:t>
      </w:r>
      <w:r>
        <w:rPr>
          <w:rFonts w:hint="eastAsia" w:ascii="仿宋_GB2312" w:hAnsi="Times New Roman" w:eastAsia="仿宋_GB2312" w:cs="Times New Roman"/>
          <w:color w:val="auto"/>
          <w:sz w:val="32"/>
          <w:szCs w:val="32"/>
          <w:highlight w:val="none"/>
        </w:rPr>
        <w:t>企业以包含知识产权的资产负债组合出资时，资产评估师应当依据同口径的可靠财务数据，分别选用适当的评估方法对各项资产和</w:t>
      </w:r>
      <w:r>
        <w:rPr>
          <w:rFonts w:ascii="仿宋_GB2312" w:hAnsi="Times New Roman" w:eastAsia="仿宋_GB2312" w:cs="Times New Roman"/>
          <w:color w:val="auto"/>
          <w:sz w:val="32"/>
          <w:szCs w:val="32"/>
          <w:highlight w:val="none"/>
        </w:rPr>
        <w:t>负债</w:t>
      </w:r>
      <w:r>
        <w:rPr>
          <w:rFonts w:hint="eastAsia" w:ascii="仿宋_GB2312" w:hAnsi="Times New Roman" w:eastAsia="仿宋_GB2312" w:cs="Times New Roman"/>
          <w:color w:val="auto"/>
          <w:sz w:val="32"/>
          <w:szCs w:val="32"/>
          <w:highlight w:val="none"/>
        </w:rPr>
        <w:t>价值进行评估，以资产组合方式列示其价值。</w:t>
      </w:r>
    </w:p>
    <w:p>
      <w:pPr>
        <w:keepNext/>
        <w:keepLines/>
        <w:pageBreakBefore w:val="0"/>
        <w:numPr>
          <w:ilvl w:val="0"/>
          <w:numId w:val="1"/>
        </w:numPr>
        <w:kinsoku/>
        <w:wordWrap/>
        <w:overflowPunct/>
        <w:topLinePunct w:val="0"/>
        <w:autoSpaceDN/>
        <w:bidi w:val="0"/>
        <w:spacing w:line="360" w:lineRule="auto"/>
        <w:ind w:left="0" w:leftChars="0" w:right="0" w:rightChars="0" w:firstLine="0" w:firstLineChars="0"/>
        <w:jc w:val="center"/>
        <w:textAlignment w:val="auto"/>
        <w:outlineLvl w:val="1"/>
        <w:rPr>
          <w:rFonts w:ascii="仿宋_GB2312" w:hAnsi="Calibri Light" w:eastAsia="仿宋_GB2312" w:cs="黑体"/>
          <w:b/>
          <w:bCs/>
          <w:color w:val="auto"/>
          <w:sz w:val="32"/>
          <w:szCs w:val="32"/>
          <w:highlight w:val="none"/>
        </w:rPr>
      </w:pPr>
      <w:r>
        <w:rPr>
          <w:rFonts w:hint="eastAsia" w:ascii="仿宋_GB2312" w:hAnsi="Calibri Light" w:eastAsia="仿宋_GB2312" w:cs="黑体"/>
          <w:b/>
          <w:bCs/>
          <w:color w:val="auto"/>
          <w:sz w:val="32"/>
          <w:szCs w:val="32"/>
          <w:highlight w:val="none"/>
        </w:rPr>
        <w:t>以质押为目的的知识产权资产评估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_GB2312" w:hAnsi="Times New Roman" w:eastAsia="仿宋_GB2312" w:cs="Times New Roman"/>
          <w:color w:val="auto"/>
          <w:sz w:val="32"/>
          <w:szCs w:val="32"/>
          <w:highlight w:val="none"/>
        </w:rPr>
      </w:pPr>
      <w:r>
        <w:rPr>
          <w:rFonts w:hint="eastAsia" w:ascii="Times New Roman" w:hAnsi="Times New Roman" w:eastAsia="仿宋_GB2312" w:cs="Times New Roman"/>
          <w:b/>
          <w:bCs/>
          <w:color w:val="auto"/>
          <w:sz w:val="32"/>
          <w:szCs w:val="32"/>
          <w:highlight w:val="none"/>
          <w:lang w:eastAsia="zh-CN"/>
        </w:rPr>
        <w:t>第四十条</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资产评估师执行以</w:t>
      </w:r>
      <w:r>
        <w:rPr>
          <w:rFonts w:ascii="Times New Roman" w:hAnsi="Times New Roman" w:eastAsia="仿宋_GB2312" w:cs="Times New Roman"/>
          <w:color w:val="auto"/>
          <w:sz w:val="32"/>
          <w:szCs w:val="32"/>
          <w:highlight w:val="none"/>
        </w:rPr>
        <w:t>质押</w:t>
      </w:r>
      <w:r>
        <w:rPr>
          <w:rFonts w:hint="eastAsia" w:ascii="Times New Roman" w:hAnsi="Times New Roman" w:eastAsia="仿宋_GB2312" w:cs="Times New Roman"/>
          <w:color w:val="auto"/>
          <w:sz w:val="32"/>
          <w:szCs w:val="32"/>
          <w:highlight w:val="none"/>
        </w:rPr>
        <w:t>为目的的知识产权资产评估业务，</w:t>
      </w:r>
      <w:r>
        <w:rPr>
          <w:rFonts w:hint="eastAsia" w:ascii="仿宋_GB2312" w:hAnsi="Times New Roman" w:eastAsia="仿宋_GB2312" w:cs="Times New Roman"/>
          <w:color w:val="auto"/>
          <w:sz w:val="32"/>
          <w:szCs w:val="32"/>
          <w:highlight w:val="none"/>
        </w:rPr>
        <w:t>应当熟悉国家担保法、物权法以及知识产权管理部门、金融管理部门关于知识产权质押融资的相关规定。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_GB2312" w:hAnsi="Times New Roman" w:eastAsia="仿宋_GB2312" w:cs="Times New Roman"/>
          <w:color w:val="auto"/>
          <w:sz w:val="32"/>
          <w:szCs w:val="32"/>
          <w:highlight w:val="none"/>
        </w:rPr>
      </w:pPr>
      <w:r>
        <w:rPr>
          <w:rFonts w:hint="eastAsia" w:ascii="Times New Roman" w:hAnsi="Times New Roman" w:eastAsia="仿宋_GB2312" w:cs="Times New Roman"/>
          <w:b/>
          <w:bCs/>
          <w:color w:val="auto"/>
          <w:sz w:val="32"/>
          <w:szCs w:val="32"/>
          <w:highlight w:val="none"/>
          <w:lang w:eastAsia="zh-CN"/>
        </w:rPr>
        <w:t>第四十一条</w:t>
      </w:r>
      <w:r>
        <w:rPr>
          <w:rFonts w:hint="eastAsia" w:ascii="Times New Roman" w:hAnsi="Times New Roman" w:eastAsia="仿宋_GB2312" w:cs="Times New Roman"/>
          <w:b/>
          <w:bCs/>
          <w:color w:val="auto"/>
          <w:sz w:val="32"/>
          <w:szCs w:val="32"/>
          <w:highlight w:val="none"/>
          <w:lang w:val="en-US" w:eastAsia="zh-CN"/>
        </w:rPr>
        <w:t xml:space="preserve"> </w:t>
      </w:r>
      <w:r>
        <w:rPr>
          <w:rFonts w:hint="eastAsia" w:ascii="仿宋_GB2312" w:hAnsi="Times New Roman" w:eastAsia="仿宋_GB2312" w:cs="Times New Roman"/>
          <w:color w:val="auto"/>
          <w:sz w:val="32"/>
          <w:szCs w:val="32"/>
          <w:highlight w:val="none"/>
          <w:lang w:val="en-US" w:eastAsia="zh-CN"/>
        </w:rPr>
        <w:t xml:space="preserve"> </w:t>
      </w:r>
      <w:r>
        <w:rPr>
          <w:rFonts w:hint="eastAsia" w:ascii="仿宋_GB2312" w:hAnsi="Times New Roman" w:eastAsia="仿宋_GB2312" w:cs="Times New Roman"/>
          <w:color w:val="auto"/>
          <w:sz w:val="32"/>
          <w:szCs w:val="32"/>
          <w:highlight w:val="none"/>
        </w:rPr>
        <w:t>资产</w:t>
      </w:r>
      <w:r>
        <w:rPr>
          <w:rFonts w:ascii="仿宋_GB2312" w:hAnsi="Times New Roman" w:eastAsia="仿宋_GB2312" w:cs="Times New Roman"/>
          <w:color w:val="auto"/>
          <w:sz w:val="32"/>
          <w:szCs w:val="32"/>
          <w:highlight w:val="none"/>
        </w:rPr>
        <w:t>评估师</w:t>
      </w:r>
      <w:r>
        <w:rPr>
          <w:rFonts w:hint="eastAsia" w:ascii="仿宋_GB2312" w:hAnsi="Times New Roman" w:eastAsia="仿宋_GB2312" w:cs="Times New Roman"/>
          <w:color w:val="auto"/>
          <w:sz w:val="32"/>
          <w:szCs w:val="32"/>
          <w:highlight w:val="none"/>
        </w:rPr>
        <w:t>应当</w:t>
      </w:r>
      <w:r>
        <w:rPr>
          <w:rFonts w:ascii="仿宋_GB2312" w:hAnsi="Times New Roman" w:eastAsia="仿宋_GB2312" w:cs="Times New Roman"/>
          <w:color w:val="auto"/>
          <w:sz w:val="32"/>
          <w:szCs w:val="32"/>
          <w:highlight w:val="none"/>
        </w:rPr>
        <w:t>关注</w:t>
      </w:r>
      <w:r>
        <w:rPr>
          <w:rFonts w:hint="eastAsia" w:ascii="仿宋_GB2312" w:hAnsi="Times New Roman" w:eastAsia="仿宋_GB2312" w:cs="Times New Roman"/>
          <w:color w:val="auto"/>
          <w:sz w:val="32"/>
          <w:szCs w:val="32"/>
          <w:highlight w:val="none"/>
        </w:rPr>
        <w:t>出质知识产权需要具备</w:t>
      </w:r>
      <w:r>
        <w:rPr>
          <w:rFonts w:ascii="仿宋_GB2312" w:hAnsi="Times New Roman" w:eastAsia="仿宋_GB2312" w:cs="Times New Roman"/>
          <w:color w:val="auto"/>
          <w:sz w:val="32"/>
          <w:szCs w:val="32"/>
          <w:highlight w:val="none"/>
        </w:rPr>
        <w:t>以下</w:t>
      </w:r>
      <w:r>
        <w:rPr>
          <w:rFonts w:hint="eastAsia" w:ascii="仿宋_GB2312" w:hAnsi="Times New Roman" w:eastAsia="仿宋_GB2312" w:cs="Times New Roman"/>
          <w:color w:val="auto"/>
          <w:sz w:val="32"/>
          <w:szCs w:val="32"/>
          <w:highlight w:val="none"/>
        </w:rPr>
        <w:t>基本条件：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（一）出质人拥有完整、合法、有效的相关</w:t>
      </w:r>
      <w:r>
        <w:rPr>
          <w:rFonts w:hint="eastAsia" w:ascii="仿宋_GB2312" w:hAnsi="Times New Roman" w:eastAsia="仿宋_GB2312" w:cs="Times New Roman"/>
          <w:color w:val="auto"/>
          <w:sz w:val="32"/>
          <w:szCs w:val="32"/>
          <w:highlight w:val="none"/>
        </w:rPr>
        <w:t>知识产权</w:t>
      </w:r>
      <w:r>
        <w:rPr>
          <w:rFonts w:hint="eastAsia" w:ascii="Times New Roman" w:hAnsi="Times New Roman" w:eastAsia="仿宋_GB2312" w:cs="Times New Roman"/>
          <w:color w:val="auto"/>
          <w:sz w:val="32"/>
          <w:szCs w:val="32"/>
          <w:highlight w:val="none"/>
        </w:rPr>
        <w:t>权利，产权关系明晰；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（二）出质的</w:t>
      </w:r>
      <w:r>
        <w:rPr>
          <w:rFonts w:hint="eastAsia" w:ascii="仿宋_GB2312" w:hAnsi="Times New Roman" w:eastAsia="仿宋_GB2312" w:cs="Times New Roman"/>
          <w:color w:val="auto"/>
          <w:sz w:val="32"/>
          <w:szCs w:val="32"/>
          <w:highlight w:val="none"/>
        </w:rPr>
        <w:t>知识产权</w:t>
      </w:r>
      <w:r>
        <w:rPr>
          <w:rFonts w:hint="eastAsia" w:ascii="Times New Roman" w:hAnsi="Times New Roman" w:eastAsia="仿宋_GB2312" w:cs="Times New Roman"/>
          <w:color w:val="auto"/>
          <w:sz w:val="32"/>
          <w:szCs w:val="32"/>
          <w:highlight w:val="none"/>
        </w:rPr>
        <w:t>具有一定的价值，可以依法转让；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（三）以专利权出质的，应当符合国家</w:t>
      </w:r>
      <w:r>
        <w:rPr>
          <w:rFonts w:hint="eastAsia" w:ascii="仿宋_GB2312" w:hAnsi="Times New Roman" w:eastAsia="仿宋_GB2312" w:cs="Times New Roman"/>
          <w:color w:val="auto"/>
          <w:sz w:val="32"/>
          <w:szCs w:val="32"/>
          <w:highlight w:val="none"/>
        </w:rPr>
        <w:t>知识产权</w:t>
      </w:r>
      <w:r>
        <w:rPr>
          <w:rFonts w:hint="eastAsia" w:ascii="Times New Roman" w:hAnsi="Times New Roman" w:eastAsia="仿宋_GB2312" w:cs="Times New Roman"/>
          <w:color w:val="auto"/>
          <w:sz w:val="32"/>
          <w:szCs w:val="32"/>
          <w:highlight w:val="none"/>
        </w:rPr>
        <w:t>局关于专利权质押登记的相关规定；以商标专用权出质的，应当符合工商登记管理</w:t>
      </w:r>
      <w:r>
        <w:rPr>
          <w:rFonts w:ascii="Times New Roman" w:hAnsi="Times New Roman" w:eastAsia="仿宋_GB2312" w:cs="Times New Roman"/>
          <w:color w:val="auto"/>
          <w:sz w:val="32"/>
          <w:szCs w:val="32"/>
          <w:highlight w:val="none"/>
        </w:rPr>
        <w:t>部门</w:t>
      </w:r>
      <w:r>
        <w:rPr>
          <w:rFonts w:hint="eastAsia" w:ascii="Times New Roman" w:hAnsi="Times New Roman" w:eastAsia="仿宋_GB2312" w:cs="Times New Roman"/>
          <w:color w:val="auto"/>
          <w:sz w:val="32"/>
          <w:szCs w:val="32"/>
          <w:highlight w:val="none"/>
        </w:rPr>
        <w:t>关于注册商标专用权质权登记的相关</w:t>
      </w:r>
      <w:r>
        <w:rPr>
          <w:rFonts w:ascii="Times New Roman" w:hAnsi="Times New Roman" w:eastAsia="仿宋_GB2312" w:cs="Times New Roman"/>
          <w:color w:val="auto"/>
          <w:sz w:val="32"/>
          <w:szCs w:val="32"/>
          <w:highlight w:val="none"/>
        </w:rPr>
        <w:t>规定</w:t>
      </w:r>
      <w:r>
        <w:rPr>
          <w:rFonts w:hint="eastAsia" w:ascii="Times New Roman" w:hAnsi="Times New Roman" w:eastAsia="仿宋_GB2312" w:cs="Times New Roman"/>
          <w:color w:val="auto"/>
          <w:sz w:val="32"/>
          <w:szCs w:val="32"/>
          <w:highlight w:val="none"/>
        </w:rPr>
        <w:t>；以著作权出质的，应当符合版权行政主管部门关于著作权质押登记的相关规定；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（四</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构成</w:t>
      </w:r>
      <w:r>
        <w:rPr>
          <w:rFonts w:hint="eastAsia" w:ascii="仿宋_GB2312" w:hAnsi="Times New Roman" w:eastAsia="仿宋_GB2312" w:cs="Times New Roman"/>
          <w:color w:val="auto"/>
          <w:sz w:val="32"/>
          <w:szCs w:val="32"/>
          <w:highlight w:val="none"/>
        </w:rPr>
        <w:t>知识产权</w:t>
      </w:r>
      <w:r>
        <w:rPr>
          <w:rFonts w:hint="eastAsia" w:ascii="Times New Roman" w:hAnsi="Times New Roman" w:eastAsia="仿宋_GB2312" w:cs="Times New Roman"/>
          <w:color w:val="auto"/>
          <w:sz w:val="32"/>
          <w:szCs w:val="32"/>
          <w:highlight w:val="none"/>
        </w:rPr>
        <w:t>组合的各单项</w:t>
      </w:r>
      <w:r>
        <w:rPr>
          <w:rFonts w:hint="eastAsia" w:ascii="仿宋_GB2312" w:hAnsi="Times New Roman" w:eastAsia="仿宋_GB2312" w:cs="Times New Roman"/>
          <w:color w:val="auto"/>
          <w:sz w:val="32"/>
          <w:szCs w:val="32"/>
          <w:highlight w:val="none"/>
        </w:rPr>
        <w:t>知识产权</w:t>
      </w:r>
      <w:r>
        <w:rPr>
          <w:rFonts w:hint="eastAsia" w:ascii="Times New Roman" w:hAnsi="Times New Roman" w:eastAsia="仿宋_GB2312" w:cs="Times New Roman"/>
          <w:color w:val="auto"/>
          <w:sz w:val="32"/>
          <w:szCs w:val="32"/>
          <w:highlight w:val="none"/>
        </w:rPr>
        <w:t>，如果共同出质设定为质押对象，应当符合相关行政主管部门质押登记的有关规定；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（五）符合其他相关法律法规的规定。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_GB2312" w:hAnsi="Times New Roman" w:eastAsia="仿宋_GB2312" w:cs="Times New Roman"/>
          <w:color w:val="auto"/>
          <w:sz w:val="32"/>
          <w:szCs w:val="32"/>
          <w:highlight w:val="none"/>
        </w:rPr>
      </w:pPr>
      <w:r>
        <w:rPr>
          <w:rFonts w:hint="eastAsia" w:ascii="Times New Roman" w:hAnsi="Times New Roman" w:eastAsia="仿宋_GB2312" w:cs="Times New Roman"/>
          <w:b/>
          <w:bCs/>
          <w:color w:val="auto"/>
          <w:sz w:val="32"/>
          <w:szCs w:val="32"/>
          <w:highlight w:val="none"/>
          <w:lang w:eastAsia="zh-CN"/>
        </w:rPr>
        <w:t>第四十二条</w:t>
      </w:r>
      <w:r>
        <w:rPr>
          <w:rFonts w:hint="eastAsia" w:ascii="仿宋_GB2312" w:hAnsi="Times New Roman" w:eastAsia="仿宋_GB2312" w:cs="Times New Roman"/>
          <w:color w:val="auto"/>
          <w:sz w:val="32"/>
          <w:szCs w:val="32"/>
          <w:highlight w:val="none"/>
          <w:lang w:val="en-US" w:eastAsia="zh-CN"/>
        </w:rPr>
        <w:t xml:space="preserve">  </w:t>
      </w:r>
      <w:r>
        <w:rPr>
          <w:rFonts w:hint="eastAsia" w:ascii="仿宋_GB2312" w:hAnsi="Times New Roman" w:eastAsia="仿宋_GB2312" w:cs="Times New Roman"/>
          <w:color w:val="auto"/>
          <w:sz w:val="32"/>
          <w:szCs w:val="32"/>
          <w:highlight w:val="none"/>
        </w:rPr>
        <w:t>资产评估师应当关注出质知识产权的具体情况：</w:t>
      </w:r>
    </w:p>
    <w:p>
      <w:pPr>
        <w:keepNext w:val="0"/>
        <w:keepLines w:val="0"/>
        <w:pageBreakBefore w:val="0"/>
        <w:widowControl w:val="0"/>
        <w:numPr>
          <w:ilvl w:val="1"/>
          <w:numId w:val="2"/>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资产评估师在评估共有</w:t>
      </w:r>
      <w:r>
        <w:rPr>
          <w:rFonts w:hint="eastAsia" w:ascii="仿宋_GB2312" w:hAnsi="Times New Roman" w:eastAsia="仿宋_GB2312" w:cs="Times New Roman"/>
          <w:color w:val="auto"/>
          <w:sz w:val="32"/>
          <w:szCs w:val="32"/>
          <w:highlight w:val="none"/>
        </w:rPr>
        <w:t>知识产权</w:t>
      </w:r>
      <w:r>
        <w:rPr>
          <w:rFonts w:hint="eastAsia" w:ascii="Times New Roman" w:hAnsi="Times New Roman" w:eastAsia="仿宋_GB2312" w:cs="Times New Roman"/>
          <w:color w:val="auto"/>
          <w:sz w:val="32"/>
          <w:szCs w:val="32"/>
          <w:highlight w:val="none"/>
        </w:rPr>
        <w:t>时，应当关注</w:t>
      </w:r>
      <w:r>
        <w:rPr>
          <w:rFonts w:hint="eastAsia" w:ascii="仿宋_GB2312" w:hAnsi="Times New Roman" w:eastAsia="仿宋_GB2312" w:cs="Times New Roman"/>
          <w:color w:val="auto"/>
          <w:sz w:val="32"/>
          <w:szCs w:val="32"/>
          <w:highlight w:val="none"/>
        </w:rPr>
        <w:t>知识产权</w:t>
      </w:r>
      <w:r>
        <w:rPr>
          <w:rFonts w:hint="eastAsia" w:ascii="Times New Roman" w:hAnsi="Times New Roman" w:eastAsia="仿宋_GB2312" w:cs="Times New Roman"/>
          <w:color w:val="auto"/>
          <w:sz w:val="32"/>
          <w:szCs w:val="32"/>
          <w:highlight w:val="none"/>
        </w:rPr>
        <w:t>共有人是否一致同意将该</w:t>
      </w:r>
      <w:r>
        <w:rPr>
          <w:rFonts w:hint="eastAsia" w:ascii="仿宋_GB2312" w:hAnsi="Times New Roman" w:eastAsia="仿宋_GB2312" w:cs="Times New Roman"/>
          <w:color w:val="auto"/>
          <w:sz w:val="32"/>
          <w:szCs w:val="32"/>
          <w:highlight w:val="none"/>
        </w:rPr>
        <w:t>知识产权</w:t>
      </w:r>
      <w:r>
        <w:rPr>
          <w:rFonts w:hint="eastAsia" w:ascii="Times New Roman" w:hAnsi="Times New Roman" w:eastAsia="仿宋_GB2312" w:cs="Times New Roman"/>
          <w:color w:val="auto"/>
          <w:sz w:val="32"/>
          <w:szCs w:val="32"/>
          <w:highlight w:val="none"/>
        </w:rPr>
        <w:t>进行质押；</w:t>
      </w:r>
    </w:p>
    <w:p>
      <w:pPr>
        <w:keepNext w:val="0"/>
        <w:keepLines w:val="0"/>
        <w:pageBreakBefore w:val="0"/>
        <w:widowControl w:val="0"/>
        <w:numPr>
          <w:ilvl w:val="1"/>
          <w:numId w:val="2"/>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评估对象是否存在合同约定的出质限制，包括时间、地域方面的限制以及存在的质押、诉讼等权利限制；</w:t>
      </w:r>
    </w:p>
    <w:p>
      <w:pPr>
        <w:keepNext w:val="0"/>
        <w:keepLines w:val="0"/>
        <w:pageBreakBefore w:val="0"/>
        <w:widowControl w:val="0"/>
        <w:numPr>
          <w:ilvl w:val="1"/>
          <w:numId w:val="2"/>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涉及</w:t>
      </w:r>
      <w:r>
        <w:rPr>
          <w:rFonts w:hint="eastAsia" w:ascii="仿宋_GB2312" w:hAnsi="Times New Roman" w:eastAsia="仿宋_GB2312" w:cs="Times New Roman"/>
          <w:color w:val="auto"/>
          <w:sz w:val="32"/>
          <w:szCs w:val="32"/>
          <w:highlight w:val="none"/>
        </w:rPr>
        <w:t>知识产权</w:t>
      </w:r>
      <w:r>
        <w:rPr>
          <w:rFonts w:hint="eastAsia" w:ascii="Times New Roman" w:hAnsi="Times New Roman" w:eastAsia="仿宋_GB2312" w:cs="Times New Roman"/>
          <w:color w:val="auto"/>
          <w:sz w:val="32"/>
          <w:szCs w:val="32"/>
          <w:highlight w:val="none"/>
        </w:rPr>
        <w:t>质物处置评估时，资产评估师应当关注与质押</w:t>
      </w:r>
      <w:r>
        <w:rPr>
          <w:rFonts w:hint="eastAsia" w:ascii="仿宋_GB2312" w:hAnsi="Times New Roman" w:eastAsia="仿宋_GB2312" w:cs="Times New Roman"/>
          <w:color w:val="auto"/>
          <w:sz w:val="32"/>
          <w:szCs w:val="32"/>
          <w:highlight w:val="none"/>
        </w:rPr>
        <w:t>知识产权资产</w:t>
      </w:r>
      <w:r>
        <w:rPr>
          <w:rFonts w:hint="eastAsia" w:ascii="Times New Roman" w:hAnsi="Times New Roman" w:eastAsia="仿宋_GB2312" w:cs="Times New Roman"/>
          <w:color w:val="auto"/>
          <w:sz w:val="32"/>
          <w:szCs w:val="32"/>
          <w:highlight w:val="none"/>
        </w:rPr>
        <w:t>实施和运用不可分割的其他资产是否一并处置。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_GB2312" w:hAnsi="Times New Roman" w:eastAsia="仿宋_GB2312" w:cs="Times New Roman"/>
          <w:color w:val="auto"/>
          <w:sz w:val="32"/>
          <w:szCs w:val="32"/>
          <w:highlight w:val="none"/>
        </w:rPr>
      </w:pPr>
      <w:r>
        <w:rPr>
          <w:rFonts w:hint="eastAsia" w:ascii="Times New Roman" w:hAnsi="Times New Roman" w:eastAsia="仿宋_GB2312" w:cs="Times New Roman"/>
          <w:b/>
          <w:bCs/>
          <w:color w:val="auto"/>
          <w:sz w:val="32"/>
          <w:szCs w:val="32"/>
          <w:highlight w:val="none"/>
          <w:lang w:eastAsia="zh-CN"/>
        </w:rPr>
        <w:t>第四十三条</w:t>
      </w:r>
      <w:r>
        <w:rPr>
          <w:rFonts w:hint="eastAsia" w:ascii="Times New Roman" w:hAnsi="Times New Roman" w:eastAsia="仿宋_GB2312" w:cs="Times New Roman"/>
          <w:b/>
          <w:bCs/>
          <w:color w:val="auto"/>
          <w:sz w:val="32"/>
          <w:szCs w:val="32"/>
          <w:highlight w:val="none"/>
          <w:lang w:val="en-US" w:eastAsia="zh-CN"/>
        </w:rPr>
        <w:t xml:space="preserve"> </w:t>
      </w:r>
      <w:r>
        <w:rPr>
          <w:rFonts w:hint="eastAsia" w:ascii="仿宋_GB2312" w:hAnsi="Times New Roman" w:eastAsia="仿宋_GB2312" w:cs="Times New Roman"/>
          <w:color w:val="auto"/>
          <w:sz w:val="32"/>
          <w:szCs w:val="32"/>
          <w:highlight w:val="none"/>
          <w:lang w:val="en-US" w:eastAsia="zh-CN"/>
        </w:rPr>
        <w:t xml:space="preserve"> </w:t>
      </w:r>
      <w:r>
        <w:rPr>
          <w:rFonts w:hint="eastAsia" w:ascii="仿宋_GB2312" w:hAnsi="Times New Roman" w:eastAsia="仿宋_GB2312" w:cs="Times New Roman"/>
          <w:color w:val="auto"/>
          <w:sz w:val="32"/>
          <w:szCs w:val="32"/>
          <w:highlight w:val="none"/>
        </w:rPr>
        <w:t>资产评估师应当关注评估对象是否可以用于出质，但是不得对评估对象是否可以作为出质资产进行确认或者发表意见。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b/>
          <w:bCs/>
          <w:color w:val="auto"/>
          <w:sz w:val="32"/>
          <w:szCs w:val="32"/>
          <w:highlight w:val="none"/>
          <w:lang w:eastAsia="zh-CN"/>
        </w:rPr>
        <w:t>第四十四条</w:t>
      </w:r>
      <w:r>
        <w:rPr>
          <w:rFonts w:hint="eastAsia" w:ascii="仿宋_GB2312" w:hAnsi="Times New Roman" w:eastAsia="仿宋_GB2312" w:cs="Times New Roman"/>
          <w:color w:val="auto"/>
          <w:sz w:val="32"/>
          <w:szCs w:val="32"/>
          <w:highlight w:val="none"/>
          <w:lang w:val="en-US" w:eastAsia="zh-CN"/>
        </w:rPr>
        <w:t xml:space="preserve">  </w:t>
      </w:r>
      <w:r>
        <w:rPr>
          <w:rFonts w:hint="eastAsia" w:ascii="仿宋_GB2312" w:hAnsi="Times New Roman" w:eastAsia="仿宋_GB2312" w:cs="Times New Roman"/>
          <w:color w:val="auto"/>
          <w:sz w:val="32"/>
          <w:szCs w:val="32"/>
          <w:highlight w:val="none"/>
        </w:rPr>
        <w:t>委托方将评估基准日设定在确定贷款审批发放或者作出其</w:t>
      </w:r>
      <w:r>
        <w:rPr>
          <w:rFonts w:hint="eastAsia" w:ascii="Times New Roman" w:hAnsi="Times New Roman" w:eastAsia="仿宋_GB2312" w:cs="Times New Roman"/>
          <w:color w:val="auto"/>
          <w:sz w:val="32"/>
          <w:szCs w:val="32"/>
          <w:highlight w:val="none"/>
        </w:rPr>
        <w:t>他质押融资决策之前的，为了解知识产权资产在通常条件下能够合理实现的价值并以此确定贷款额度，可以委托资产评估师评估其市场价值或</w:t>
      </w:r>
      <w:r>
        <w:rPr>
          <w:rFonts w:hint="eastAsia" w:ascii="仿宋_GB2312" w:hAnsi="Times New Roman" w:eastAsia="仿宋_GB2312" w:cs="Times New Roman"/>
          <w:color w:val="auto"/>
          <w:sz w:val="32"/>
          <w:szCs w:val="32"/>
          <w:highlight w:val="none"/>
        </w:rPr>
        <w:t>者</w:t>
      </w:r>
      <w:r>
        <w:rPr>
          <w:rFonts w:hint="eastAsia" w:ascii="Times New Roman" w:hAnsi="Times New Roman" w:eastAsia="仿宋_GB2312" w:cs="Times New Roman"/>
          <w:color w:val="auto"/>
          <w:sz w:val="32"/>
          <w:szCs w:val="32"/>
          <w:highlight w:val="none"/>
        </w:rPr>
        <w:t>其他类型的价值。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委托方将评估基准日设定在出质人违约、拟处置知识产权资产时，为确定处置底价或</w:t>
      </w:r>
      <w:r>
        <w:rPr>
          <w:rFonts w:hint="eastAsia" w:ascii="仿宋_GB2312" w:hAnsi="Times New Roman" w:eastAsia="仿宋_GB2312" w:cs="Times New Roman"/>
          <w:color w:val="auto"/>
          <w:sz w:val="32"/>
          <w:szCs w:val="32"/>
          <w:highlight w:val="none"/>
        </w:rPr>
        <w:t>者</w:t>
      </w:r>
      <w:r>
        <w:rPr>
          <w:rFonts w:hint="eastAsia" w:ascii="Times New Roman" w:hAnsi="Times New Roman" w:eastAsia="仿宋_GB2312" w:cs="Times New Roman"/>
          <w:color w:val="auto"/>
          <w:sz w:val="32"/>
          <w:szCs w:val="32"/>
          <w:highlight w:val="none"/>
        </w:rPr>
        <w:t>可变现价值提供参考依据，可以委托资产评估师评估其市场价值或</w:t>
      </w:r>
      <w:r>
        <w:rPr>
          <w:rFonts w:hint="eastAsia" w:ascii="仿宋_GB2312" w:hAnsi="Times New Roman" w:eastAsia="仿宋_GB2312" w:cs="Times New Roman"/>
          <w:color w:val="auto"/>
          <w:sz w:val="32"/>
          <w:szCs w:val="32"/>
          <w:highlight w:val="none"/>
        </w:rPr>
        <w:t>者</w:t>
      </w:r>
      <w:r>
        <w:rPr>
          <w:rFonts w:hint="eastAsia" w:ascii="Times New Roman" w:hAnsi="Times New Roman" w:eastAsia="仿宋_GB2312" w:cs="Times New Roman"/>
          <w:color w:val="auto"/>
          <w:sz w:val="32"/>
          <w:szCs w:val="32"/>
          <w:highlight w:val="none"/>
        </w:rPr>
        <w:t>清算价值。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b/>
          <w:bCs/>
          <w:color w:val="auto"/>
          <w:sz w:val="32"/>
          <w:szCs w:val="32"/>
          <w:highlight w:val="none"/>
          <w:lang w:eastAsia="zh-CN"/>
        </w:rPr>
        <w:t>第四十五条</w:t>
      </w:r>
      <w:r>
        <w:rPr>
          <w:rFonts w:hint="eastAsia" w:ascii="仿宋_GB2312" w:hAnsi="Times New Roman" w:eastAsia="仿宋_GB2312" w:cs="Times New Roman"/>
          <w:color w:val="auto"/>
          <w:sz w:val="32"/>
          <w:szCs w:val="32"/>
          <w:highlight w:val="none"/>
          <w:lang w:val="en-US" w:eastAsia="zh-CN"/>
        </w:rPr>
        <w:t xml:space="preserve">  </w:t>
      </w:r>
      <w:r>
        <w:rPr>
          <w:rFonts w:hint="eastAsia" w:ascii="仿宋_GB2312" w:hAnsi="Times New Roman" w:eastAsia="仿宋_GB2312" w:cs="Times New Roman"/>
          <w:color w:val="auto"/>
          <w:sz w:val="32"/>
          <w:szCs w:val="32"/>
          <w:highlight w:val="none"/>
        </w:rPr>
        <w:t>资产评估师应当关注知识产权资产质押风险对评估报告相关</w:t>
      </w:r>
      <w:r>
        <w:rPr>
          <w:rFonts w:hint="eastAsia" w:ascii="Times New Roman" w:hAnsi="Times New Roman" w:eastAsia="仿宋_GB2312" w:cs="Times New Roman"/>
          <w:color w:val="auto"/>
          <w:sz w:val="32"/>
          <w:szCs w:val="32"/>
          <w:highlight w:val="none"/>
        </w:rPr>
        <w:t>信息披露的特殊要求，并对相关事项作出充分的披露。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_GB2312" w:hAnsi="Times New Roman" w:eastAsia="仿宋_GB2312" w:cs="Times New Roman"/>
          <w:color w:val="auto"/>
          <w:sz w:val="32"/>
          <w:szCs w:val="32"/>
          <w:highlight w:val="none"/>
        </w:rPr>
      </w:pPr>
      <w:r>
        <w:rPr>
          <w:rFonts w:hint="eastAsia" w:ascii="Times New Roman" w:hAnsi="Times New Roman" w:eastAsia="仿宋_GB2312" w:cs="Times New Roman"/>
          <w:b/>
          <w:bCs/>
          <w:color w:val="auto"/>
          <w:sz w:val="32"/>
          <w:szCs w:val="32"/>
          <w:highlight w:val="none"/>
          <w:lang w:eastAsia="zh-CN"/>
        </w:rPr>
        <w:t>第四十六条</w:t>
      </w:r>
      <w:r>
        <w:rPr>
          <w:rFonts w:hint="eastAsia" w:ascii="Times New Roman" w:hAnsi="Times New Roman" w:eastAsia="仿宋_GB2312" w:cs="Times New Roman"/>
          <w:b/>
          <w:bCs/>
          <w:color w:val="auto"/>
          <w:sz w:val="32"/>
          <w:szCs w:val="32"/>
          <w:highlight w:val="none"/>
          <w:lang w:val="en-US" w:eastAsia="zh-CN"/>
        </w:rPr>
        <w:t xml:space="preserve"> </w:t>
      </w:r>
      <w:r>
        <w:rPr>
          <w:rFonts w:hint="eastAsia" w:ascii="仿宋_GB2312" w:hAnsi="Times New Roman" w:eastAsia="仿宋_GB2312" w:cs="Times New Roman"/>
          <w:color w:val="auto"/>
          <w:sz w:val="32"/>
          <w:szCs w:val="32"/>
          <w:highlight w:val="none"/>
          <w:lang w:val="en-US" w:eastAsia="zh-CN"/>
        </w:rPr>
        <w:t xml:space="preserve"> </w:t>
      </w:r>
      <w:r>
        <w:rPr>
          <w:rFonts w:hint="eastAsia" w:ascii="仿宋_GB2312" w:hAnsi="Times New Roman" w:eastAsia="仿宋_GB2312" w:cs="Times New Roman"/>
          <w:color w:val="auto"/>
          <w:sz w:val="32"/>
          <w:szCs w:val="32"/>
          <w:highlight w:val="none"/>
        </w:rPr>
        <w:t>在存在重大不确定因素的情况下，资产评估师作出评估相关判断时，应当保持必要的谨慎，充分估计知识产权资产在处置时可能受到的限制、未来可能发生的风险和损失，并在评估报告中作出必要的风险提示。法定优先受偿权利等情况的书面查询资料，应当作为评估报告的附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_GB2312" w:hAnsi="Times New Roman" w:eastAsia="仿宋_GB2312" w:cs="Times New Roman"/>
          <w:color w:val="auto"/>
          <w:sz w:val="32"/>
          <w:szCs w:val="32"/>
          <w:highlight w:val="none"/>
        </w:rPr>
      </w:pPr>
      <w:r>
        <w:rPr>
          <w:rFonts w:hint="eastAsia" w:ascii="Times New Roman" w:hAnsi="Times New Roman" w:eastAsia="仿宋_GB2312" w:cs="Times New Roman"/>
          <w:b/>
          <w:bCs/>
          <w:color w:val="auto"/>
          <w:sz w:val="32"/>
          <w:szCs w:val="32"/>
          <w:highlight w:val="none"/>
          <w:lang w:eastAsia="zh-CN"/>
        </w:rPr>
        <w:t>第四十七条</w:t>
      </w:r>
      <w:r>
        <w:rPr>
          <w:rFonts w:hint="eastAsia" w:ascii="仿宋_GB2312" w:hAnsi="Times New Roman" w:eastAsia="仿宋_GB2312" w:cs="Times New Roman"/>
          <w:color w:val="auto"/>
          <w:sz w:val="32"/>
          <w:szCs w:val="32"/>
          <w:highlight w:val="none"/>
          <w:lang w:val="en-US" w:eastAsia="zh-CN"/>
        </w:rPr>
        <w:t xml:space="preserve">  </w:t>
      </w:r>
      <w:r>
        <w:rPr>
          <w:rFonts w:hint="eastAsia" w:ascii="仿宋_GB2312" w:hAnsi="Times New Roman" w:eastAsia="仿宋_GB2312" w:cs="Times New Roman"/>
          <w:color w:val="auto"/>
          <w:sz w:val="32"/>
          <w:szCs w:val="32"/>
          <w:highlight w:val="none"/>
        </w:rPr>
        <w:t>在跟踪评估出质知识产权市场价值或者</w:t>
      </w:r>
      <w:r>
        <w:rPr>
          <w:rFonts w:hint="eastAsia" w:ascii="Times New Roman" w:hAnsi="Times New Roman" w:eastAsia="仿宋_GB2312" w:cs="Times New Roman"/>
          <w:color w:val="auto"/>
          <w:sz w:val="32"/>
          <w:szCs w:val="32"/>
          <w:highlight w:val="none"/>
        </w:rPr>
        <w:t>其他类型的价值时</w:t>
      </w:r>
      <w:r>
        <w:rPr>
          <w:rFonts w:hint="eastAsia" w:ascii="仿宋_GB2312" w:hAnsi="Times New Roman" w:eastAsia="仿宋_GB2312" w:cs="Times New Roman"/>
          <w:color w:val="auto"/>
          <w:sz w:val="32"/>
          <w:szCs w:val="32"/>
          <w:highlight w:val="none"/>
        </w:rPr>
        <w:t>，资产评估师应当对知识产权实施市场已经发生的变化予以充分考虑和说明。</w:t>
      </w:r>
    </w:p>
    <w:p>
      <w:pPr>
        <w:keepNext/>
        <w:keepLines/>
        <w:pageBreakBefore w:val="0"/>
        <w:numPr>
          <w:ilvl w:val="0"/>
          <w:numId w:val="1"/>
        </w:numPr>
        <w:kinsoku/>
        <w:wordWrap/>
        <w:overflowPunct/>
        <w:topLinePunct w:val="0"/>
        <w:autoSpaceDN/>
        <w:bidi w:val="0"/>
        <w:spacing w:line="360" w:lineRule="auto"/>
        <w:ind w:left="0" w:leftChars="0" w:right="0" w:rightChars="0" w:firstLine="0" w:firstLineChars="0"/>
        <w:jc w:val="center"/>
        <w:textAlignment w:val="auto"/>
        <w:outlineLvl w:val="1"/>
        <w:rPr>
          <w:rFonts w:ascii="仿宋_GB2312" w:hAnsi="Calibri Light" w:eastAsia="仿宋_GB2312" w:cs="黑体"/>
          <w:b/>
          <w:bCs/>
          <w:color w:val="auto"/>
          <w:sz w:val="32"/>
          <w:szCs w:val="32"/>
          <w:highlight w:val="none"/>
        </w:rPr>
      </w:pPr>
      <w:r>
        <w:rPr>
          <w:rFonts w:hint="eastAsia" w:ascii="仿宋_GB2312" w:hAnsi="Calibri Light" w:eastAsia="仿宋_GB2312" w:cs="黑体"/>
          <w:b/>
          <w:bCs/>
          <w:color w:val="auto"/>
          <w:sz w:val="32"/>
          <w:szCs w:val="32"/>
          <w:highlight w:val="none"/>
        </w:rPr>
        <w:t>以诉讼为目的的知识产权资产评估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_GB2312" w:hAnsi="Times New Roman" w:eastAsia="仿宋_GB2312" w:cs="Times New Roman"/>
          <w:color w:val="auto"/>
          <w:sz w:val="32"/>
          <w:szCs w:val="32"/>
          <w:highlight w:val="none"/>
        </w:rPr>
      </w:pPr>
      <w:r>
        <w:rPr>
          <w:rFonts w:hint="eastAsia" w:ascii="Times New Roman" w:hAnsi="Times New Roman" w:eastAsia="仿宋_GB2312" w:cs="Times New Roman"/>
          <w:b/>
          <w:bCs/>
          <w:color w:val="auto"/>
          <w:sz w:val="32"/>
          <w:szCs w:val="32"/>
          <w:highlight w:val="none"/>
          <w:lang w:eastAsia="zh-CN"/>
        </w:rPr>
        <w:t>第四十八条</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资产评估师执行以诉讼为目的的知识产权资产评估业务，</w:t>
      </w:r>
      <w:r>
        <w:rPr>
          <w:rFonts w:hint="eastAsia" w:ascii="仿宋_GB2312" w:hAnsi="Times New Roman" w:eastAsia="仿宋_GB2312" w:cs="Times New Roman"/>
          <w:color w:val="auto"/>
          <w:sz w:val="32"/>
          <w:szCs w:val="32"/>
          <w:highlight w:val="none"/>
        </w:rPr>
        <w:t>应当熟悉国家司法部门和知识产权管理部门有关知识产权诉讼的规定。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_GB2312" w:hAnsi="Times New Roman" w:eastAsia="仿宋_GB2312" w:cs="Times New Roman"/>
          <w:color w:val="auto"/>
          <w:sz w:val="32"/>
          <w:szCs w:val="32"/>
          <w:highlight w:val="none"/>
        </w:rPr>
      </w:pPr>
      <w:r>
        <w:rPr>
          <w:rFonts w:hint="eastAsia" w:ascii="Times New Roman" w:hAnsi="Times New Roman" w:eastAsia="仿宋_GB2312" w:cs="Times New Roman"/>
          <w:b/>
          <w:bCs/>
          <w:color w:val="auto"/>
          <w:sz w:val="32"/>
          <w:szCs w:val="32"/>
          <w:highlight w:val="none"/>
          <w:lang w:eastAsia="zh-CN"/>
        </w:rPr>
        <w:t>第四十九条</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资产评估师</w:t>
      </w:r>
      <w:r>
        <w:rPr>
          <w:rFonts w:hint="eastAsia" w:ascii="仿宋_GB2312" w:hAnsi="Times New Roman" w:eastAsia="仿宋_GB2312" w:cs="Times New Roman"/>
          <w:color w:val="auto"/>
          <w:sz w:val="32"/>
          <w:szCs w:val="32"/>
          <w:highlight w:val="none"/>
        </w:rPr>
        <w:t>应当与委托方和相关当事方进行充分沟通，了解</w:t>
      </w:r>
      <w:r>
        <w:rPr>
          <w:rFonts w:ascii="仿宋_GB2312" w:hAnsi="Times New Roman" w:eastAsia="仿宋_GB2312" w:cs="Times New Roman"/>
          <w:color w:val="auto"/>
          <w:sz w:val="32"/>
          <w:szCs w:val="32"/>
          <w:highlight w:val="none"/>
        </w:rPr>
        <w:t>案情基本情况，</w:t>
      </w:r>
      <w:r>
        <w:rPr>
          <w:rFonts w:hint="eastAsia" w:ascii="仿宋_GB2312" w:hAnsi="Times New Roman" w:eastAsia="仿宋_GB2312" w:cs="Times New Roman"/>
          <w:color w:val="auto"/>
          <w:sz w:val="32"/>
          <w:szCs w:val="32"/>
          <w:highlight w:val="none"/>
        </w:rPr>
        <w:t>并且通过现场调查和资料收集等确认评估对象和评估范围，被评估知识产权资产通常为涉案资产或者其他相关经济利益。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其他相关经济利益是指一方当事人的行为给另一方当事人造成的经济损失以及费用增加等，通常包括侵权损失、资产损害，以及由于个人或者法人经营、合同纠纷等行为引起的相关经济利益变化。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_GB2312" w:hAnsi="Times New Roman" w:eastAsia="仿宋_GB2312" w:cs="Times New Roman"/>
          <w:color w:val="auto"/>
          <w:sz w:val="32"/>
          <w:szCs w:val="32"/>
          <w:highlight w:val="none"/>
        </w:rPr>
      </w:pPr>
      <w:r>
        <w:rPr>
          <w:rFonts w:hint="eastAsia" w:ascii="Times New Roman" w:hAnsi="Times New Roman" w:eastAsia="仿宋_GB2312" w:cs="Times New Roman"/>
          <w:b/>
          <w:bCs/>
          <w:color w:val="auto"/>
          <w:sz w:val="32"/>
          <w:szCs w:val="32"/>
          <w:highlight w:val="none"/>
          <w:lang w:eastAsia="zh-CN"/>
        </w:rPr>
        <w:t>第五十条</w:t>
      </w:r>
      <w:r>
        <w:rPr>
          <w:rFonts w:hint="eastAsia" w:ascii="Times New Roman" w:hAnsi="Times New Roman" w:eastAsia="仿宋_GB2312" w:cs="Times New Roman"/>
          <w:b/>
          <w:bCs/>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资产评估师</w:t>
      </w:r>
      <w:r>
        <w:rPr>
          <w:rFonts w:hint="eastAsia" w:ascii="仿宋_GB2312" w:hAnsi="Times New Roman" w:eastAsia="仿宋_GB2312" w:cs="Times New Roman"/>
          <w:color w:val="auto"/>
          <w:sz w:val="32"/>
          <w:szCs w:val="32"/>
          <w:highlight w:val="none"/>
        </w:rPr>
        <w:t>应当提醒</w:t>
      </w:r>
      <w:r>
        <w:rPr>
          <w:rFonts w:ascii="仿宋_GB2312" w:hAnsi="Times New Roman" w:eastAsia="仿宋_GB2312" w:cs="Times New Roman"/>
          <w:color w:val="auto"/>
          <w:sz w:val="32"/>
          <w:szCs w:val="32"/>
          <w:highlight w:val="none"/>
        </w:rPr>
        <w:t>委托方</w:t>
      </w:r>
      <w:r>
        <w:rPr>
          <w:rFonts w:hint="eastAsia" w:ascii="仿宋_GB2312" w:hAnsi="Times New Roman" w:eastAsia="仿宋_GB2312" w:cs="Times New Roman"/>
          <w:color w:val="auto"/>
          <w:sz w:val="32"/>
          <w:szCs w:val="32"/>
          <w:highlight w:val="none"/>
        </w:rPr>
        <w:t>根据评估对象和具体案件的不同，合理确定评估基准日。评估基准日可以是过去或者现在的某一时点。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_GB2312" w:hAnsi="Times New Roman" w:eastAsia="仿宋_GB2312" w:cs="Times New Roman"/>
          <w:color w:val="auto"/>
          <w:sz w:val="32"/>
          <w:szCs w:val="32"/>
          <w:highlight w:val="none"/>
        </w:rPr>
      </w:pPr>
      <w:r>
        <w:rPr>
          <w:rFonts w:hint="eastAsia" w:ascii="Times New Roman" w:hAnsi="Times New Roman" w:eastAsia="仿宋_GB2312" w:cs="Times New Roman"/>
          <w:b/>
          <w:bCs/>
          <w:color w:val="auto"/>
          <w:sz w:val="32"/>
          <w:szCs w:val="32"/>
          <w:highlight w:val="none"/>
          <w:lang w:eastAsia="zh-CN"/>
        </w:rPr>
        <w:t>第五十一条</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资产评估师</w:t>
      </w:r>
      <w:r>
        <w:rPr>
          <w:rFonts w:hint="eastAsia" w:ascii="仿宋_GB2312" w:hAnsi="Times New Roman" w:eastAsia="仿宋_GB2312" w:cs="Times New Roman"/>
          <w:color w:val="auto"/>
          <w:sz w:val="32"/>
          <w:szCs w:val="32"/>
          <w:highlight w:val="none"/>
        </w:rPr>
        <w:t>应当根据评估目的、评估对象、案件具体情况以及所处阶段的不同，合理确定涉案知识产权资产评估的价值类型。价值类型通常包括市场价值以及清算价值，当执行涉案知识产权资产变现处置评估业务时，通常采用清算价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_GB2312" w:hAnsi="Times New Roman" w:eastAsia="仿宋_GB2312" w:cs="Times New Roman"/>
          <w:color w:val="auto"/>
          <w:sz w:val="32"/>
          <w:szCs w:val="32"/>
          <w:highlight w:val="none"/>
        </w:rPr>
      </w:pPr>
      <w:r>
        <w:rPr>
          <w:rFonts w:hint="eastAsia" w:ascii="Times New Roman" w:hAnsi="Times New Roman" w:eastAsia="仿宋_GB2312" w:cs="Times New Roman"/>
          <w:b/>
          <w:bCs/>
          <w:color w:val="auto"/>
          <w:sz w:val="32"/>
          <w:szCs w:val="32"/>
          <w:highlight w:val="none"/>
          <w:lang w:eastAsia="zh-CN"/>
        </w:rPr>
        <w:t>第五十二条</w:t>
      </w:r>
      <w:r>
        <w:rPr>
          <w:rFonts w:hint="eastAsia" w:ascii="Times New Roman" w:hAnsi="Times New Roman" w:eastAsia="仿宋_GB2312" w:cs="Times New Roman"/>
          <w:b/>
          <w:bCs/>
          <w:color w:val="auto"/>
          <w:sz w:val="32"/>
          <w:szCs w:val="32"/>
          <w:highlight w:val="none"/>
          <w:lang w:val="en-US" w:eastAsia="zh-CN"/>
        </w:rPr>
        <w:t xml:space="preserve">  </w:t>
      </w:r>
      <w:r>
        <w:rPr>
          <w:rFonts w:hint="eastAsia" w:ascii="仿宋_GB2312" w:hAnsi="Times New Roman" w:eastAsia="仿宋_GB2312" w:cs="Times New Roman"/>
          <w:color w:val="auto"/>
          <w:sz w:val="32"/>
          <w:szCs w:val="32"/>
          <w:highlight w:val="none"/>
        </w:rPr>
        <w:t>执行以诉讼为目的的知识产权资产评估业务，</w:t>
      </w:r>
      <w:r>
        <w:rPr>
          <w:rFonts w:hint="eastAsia" w:ascii="Times New Roman" w:hAnsi="Times New Roman" w:eastAsia="仿宋_GB2312" w:cs="Times New Roman"/>
          <w:color w:val="auto"/>
          <w:sz w:val="32"/>
          <w:szCs w:val="32"/>
          <w:highlight w:val="none"/>
        </w:rPr>
        <w:t>资产评估师</w:t>
      </w:r>
      <w:r>
        <w:rPr>
          <w:rFonts w:hint="eastAsia" w:ascii="仿宋_GB2312" w:hAnsi="Times New Roman" w:eastAsia="仿宋_GB2312" w:cs="Times New Roman"/>
          <w:color w:val="auto"/>
          <w:sz w:val="32"/>
          <w:szCs w:val="32"/>
          <w:highlight w:val="none"/>
        </w:rPr>
        <w:t>应当尽可能要求委托方和相关当事方提供相关资料，并要求其对资料的真实性、合法性、完整性进行确认，同时通过市场调查、专家访谈等方式收集评估资料。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_GB2312" w:hAnsi="Times New Roman" w:eastAsia="仿宋_GB2312" w:cs="Times New Roman"/>
          <w:color w:val="auto"/>
          <w:sz w:val="32"/>
          <w:szCs w:val="32"/>
          <w:highlight w:val="none"/>
        </w:rPr>
      </w:pPr>
      <w:r>
        <w:rPr>
          <w:rFonts w:hint="eastAsia" w:ascii="Times New Roman" w:hAnsi="Times New Roman" w:eastAsia="仿宋_GB2312" w:cs="Times New Roman"/>
          <w:b/>
          <w:bCs/>
          <w:color w:val="auto"/>
          <w:sz w:val="32"/>
          <w:szCs w:val="32"/>
          <w:highlight w:val="none"/>
          <w:lang w:eastAsia="zh-CN"/>
        </w:rPr>
        <w:t>第五十三条</w:t>
      </w:r>
      <w:r>
        <w:rPr>
          <w:rFonts w:hint="eastAsia" w:ascii="仿宋_GB2312" w:hAnsi="Times New Roman" w:eastAsia="仿宋_GB2312" w:cs="Times New Roman"/>
          <w:color w:val="auto"/>
          <w:sz w:val="32"/>
          <w:szCs w:val="32"/>
          <w:highlight w:val="none"/>
          <w:lang w:val="en-US" w:eastAsia="zh-CN"/>
        </w:rPr>
        <w:t xml:space="preserve">  </w:t>
      </w:r>
      <w:r>
        <w:rPr>
          <w:rFonts w:hint="eastAsia" w:ascii="仿宋_GB2312" w:hAnsi="Times New Roman" w:eastAsia="仿宋_GB2312" w:cs="Times New Roman"/>
          <w:color w:val="auto"/>
          <w:sz w:val="32"/>
          <w:szCs w:val="32"/>
          <w:highlight w:val="none"/>
        </w:rPr>
        <w:t>执行以诉讼为目的的知识产权资产评估业务，</w:t>
      </w:r>
      <w:r>
        <w:rPr>
          <w:rFonts w:hint="eastAsia" w:ascii="Times New Roman" w:hAnsi="Times New Roman" w:eastAsia="仿宋_GB2312" w:cs="Times New Roman"/>
          <w:color w:val="auto"/>
          <w:sz w:val="32"/>
          <w:szCs w:val="32"/>
          <w:highlight w:val="none"/>
        </w:rPr>
        <w:t>资产评估师</w:t>
      </w:r>
      <w:r>
        <w:rPr>
          <w:rFonts w:hint="eastAsia" w:ascii="仿宋_GB2312" w:hAnsi="Times New Roman" w:eastAsia="仿宋_GB2312" w:cs="Times New Roman"/>
          <w:color w:val="auto"/>
          <w:sz w:val="32"/>
          <w:szCs w:val="32"/>
          <w:highlight w:val="none"/>
        </w:rPr>
        <w:t>应当尽可能在委托方、相关当事方的配合下进行现场调查。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现场调查时应当保留必要的文字、语音、照片、影像等资料，以书面形式记录调查的时间、地点、过程、结果等，并且由评估机构、委托方、相关当事方等共同确认。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如果调查时出现委托方或者相关当事方不在现场，或者相关人员不予配合等情况，评估机构应当详细记录现场情况，收集必要的证据资料，并在报告中予以披露。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_GB2312" w:hAnsi="Times New Roman" w:eastAsia="仿宋_GB2312" w:cs="Times New Roman"/>
          <w:color w:val="auto"/>
          <w:sz w:val="32"/>
          <w:szCs w:val="32"/>
          <w:highlight w:val="none"/>
        </w:rPr>
      </w:pPr>
      <w:r>
        <w:rPr>
          <w:rFonts w:hint="eastAsia" w:ascii="Times New Roman" w:hAnsi="Times New Roman" w:eastAsia="仿宋_GB2312" w:cs="Times New Roman"/>
          <w:b/>
          <w:bCs/>
          <w:color w:val="auto"/>
          <w:sz w:val="32"/>
          <w:szCs w:val="32"/>
          <w:highlight w:val="none"/>
          <w:lang w:eastAsia="zh-CN"/>
        </w:rPr>
        <w:t>第五十四条</w:t>
      </w:r>
      <w:r>
        <w:rPr>
          <w:rFonts w:hint="eastAsia" w:ascii="仿宋_GB2312" w:hAnsi="Times New Roman" w:eastAsia="仿宋_GB2312" w:cs="Times New Roman"/>
          <w:color w:val="auto"/>
          <w:sz w:val="32"/>
          <w:szCs w:val="32"/>
          <w:highlight w:val="none"/>
          <w:lang w:val="en-US" w:eastAsia="zh-CN"/>
        </w:rPr>
        <w:t xml:space="preserve">  </w:t>
      </w:r>
      <w:r>
        <w:rPr>
          <w:rFonts w:hint="eastAsia" w:ascii="仿宋_GB2312" w:hAnsi="Times New Roman" w:eastAsia="仿宋_GB2312" w:cs="Times New Roman"/>
          <w:color w:val="auto"/>
          <w:sz w:val="32"/>
          <w:szCs w:val="32"/>
          <w:highlight w:val="none"/>
        </w:rPr>
        <w:t>编制以诉讼为目的的知识产权资产评估报告时，</w:t>
      </w:r>
      <w:r>
        <w:rPr>
          <w:rFonts w:hint="eastAsia" w:ascii="Times New Roman" w:hAnsi="Times New Roman" w:eastAsia="仿宋_GB2312" w:cs="Times New Roman"/>
          <w:color w:val="auto"/>
          <w:sz w:val="32"/>
          <w:szCs w:val="32"/>
          <w:highlight w:val="none"/>
        </w:rPr>
        <w:t>资产评估师</w:t>
      </w:r>
      <w:r>
        <w:rPr>
          <w:rFonts w:hint="eastAsia" w:ascii="仿宋_GB2312" w:hAnsi="Times New Roman" w:eastAsia="仿宋_GB2312" w:cs="Times New Roman"/>
          <w:color w:val="auto"/>
          <w:sz w:val="32"/>
          <w:szCs w:val="32"/>
          <w:highlight w:val="none"/>
        </w:rPr>
        <w:t>应当在评估报告中重点披露下列内容：</w:t>
      </w:r>
    </w:p>
    <w:p>
      <w:pPr>
        <w:pageBreakBefore w:val="0"/>
        <w:kinsoku/>
        <w:wordWrap/>
        <w:overflowPunct/>
        <w:topLinePunct w:val="0"/>
        <w:autoSpaceDN/>
        <w:bidi w:val="0"/>
        <w:spacing w:line="360" w:lineRule="auto"/>
        <w:ind w:right="0" w:rightChars="0" w:firstLine="640" w:firstLineChars="200"/>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（一）是否存在业务约定书（委托要约）对评估基本事项约定不明确，或者评估对象和评估范围与业务约定书（委托要约）约定不一致的情形；</w:t>
      </w:r>
    </w:p>
    <w:p>
      <w:pPr>
        <w:pageBreakBefore w:val="0"/>
        <w:kinsoku/>
        <w:wordWrap/>
        <w:overflowPunct/>
        <w:topLinePunct w:val="0"/>
        <w:autoSpaceDN/>
        <w:bidi w:val="0"/>
        <w:spacing w:line="360" w:lineRule="auto"/>
        <w:ind w:right="0" w:rightChars="0" w:firstLine="640" w:firstLineChars="200"/>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（二）涉案知识产权资产以及其他相关经济利益的具体内容以及价值构成；</w:t>
      </w:r>
    </w:p>
    <w:p>
      <w:pPr>
        <w:pageBreakBefore w:val="0"/>
        <w:kinsoku/>
        <w:wordWrap/>
        <w:overflowPunct/>
        <w:topLinePunct w:val="0"/>
        <w:autoSpaceDN/>
        <w:bidi w:val="0"/>
        <w:spacing w:line="360" w:lineRule="auto"/>
        <w:ind w:right="0" w:rightChars="0" w:firstLine="640" w:firstLineChars="200"/>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（三）现场调查和资料收集过程中委托方和相关当事方的配合情况；</w:t>
      </w:r>
    </w:p>
    <w:p>
      <w:pPr>
        <w:pageBreakBefore w:val="0"/>
        <w:kinsoku/>
        <w:wordWrap/>
        <w:overflowPunct/>
        <w:topLinePunct w:val="0"/>
        <w:autoSpaceDN/>
        <w:bidi w:val="0"/>
        <w:spacing w:line="360" w:lineRule="auto"/>
        <w:ind w:left="640" w:right="0" w:rightChars="0"/>
        <w:textAlignment w:val="auto"/>
        <w:rPr>
          <w:rFonts w:ascii="仿宋_GB2312"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（四）其他可能影响理解评估结论和报告使用的事项。</w:t>
      </w:r>
    </w:p>
    <w:p>
      <w:pPr>
        <w:keepNext/>
        <w:keepLines/>
        <w:pageBreakBefore w:val="0"/>
        <w:numPr>
          <w:ilvl w:val="0"/>
          <w:numId w:val="1"/>
        </w:numPr>
        <w:kinsoku/>
        <w:wordWrap/>
        <w:overflowPunct/>
        <w:topLinePunct w:val="0"/>
        <w:autoSpaceDN/>
        <w:bidi w:val="0"/>
        <w:spacing w:line="360" w:lineRule="auto"/>
        <w:ind w:right="0" w:rightChars="0"/>
        <w:jc w:val="center"/>
        <w:textAlignment w:val="auto"/>
        <w:outlineLvl w:val="1"/>
        <w:rPr>
          <w:rFonts w:ascii="仿宋_GB2312" w:hAnsi="Calibri Light" w:eastAsia="仿宋_GB2312" w:cs="黑体"/>
          <w:b/>
          <w:bCs/>
          <w:color w:val="auto"/>
          <w:sz w:val="32"/>
          <w:szCs w:val="32"/>
          <w:highlight w:val="none"/>
        </w:rPr>
      </w:pPr>
      <w:r>
        <w:rPr>
          <w:rFonts w:hint="eastAsia" w:ascii="仿宋_GB2312" w:hAnsi="Calibri Light" w:eastAsia="仿宋_GB2312" w:cs="黑体"/>
          <w:b/>
          <w:bCs/>
          <w:color w:val="auto"/>
          <w:sz w:val="32"/>
          <w:szCs w:val="32"/>
          <w:highlight w:val="none"/>
        </w:rPr>
        <w:t>以财务报告为目的的知识产权资产评估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rPr>
          <w:rFonts w:ascii="仿宋_GB2312" w:hAnsi="Times New Roman" w:eastAsia="仿宋_GB2312" w:cs="Times New Roman"/>
          <w:color w:val="auto"/>
          <w:sz w:val="32"/>
          <w:szCs w:val="32"/>
          <w:highlight w:val="none"/>
        </w:rPr>
      </w:pPr>
      <w:r>
        <w:rPr>
          <w:rFonts w:hint="eastAsia" w:ascii="Times New Roman" w:hAnsi="Times New Roman" w:eastAsia="仿宋_GB2312" w:cs="Times New Roman"/>
          <w:b/>
          <w:bCs/>
          <w:color w:val="auto"/>
          <w:sz w:val="32"/>
          <w:szCs w:val="32"/>
          <w:highlight w:val="none"/>
          <w:lang w:eastAsia="zh-CN"/>
        </w:rPr>
        <w:t>第五十五条</w:t>
      </w:r>
      <w:r>
        <w:rPr>
          <w:rFonts w:hint="eastAsia" w:ascii="仿宋_GB2312" w:hAnsi="Times New Roman" w:eastAsia="仿宋_GB2312" w:cs="Times New Roman"/>
          <w:color w:val="auto"/>
          <w:sz w:val="32"/>
          <w:szCs w:val="32"/>
          <w:highlight w:val="none"/>
          <w:lang w:val="en-US" w:eastAsia="zh-CN"/>
        </w:rPr>
        <w:t xml:space="preserve">  </w:t>
      </w:r>
      <w:r>
        <w:rPr>
          <w:rFonts w:hint="eastAsia" w:ascii="仿宋_GB2312" w:hAnsi="Times New Roman" w:eastAsia="仿宋_GB2312" w:cs="Times New Roman"/>
          <w:color w:val="auto"/>
          <w:sz w:val="32"/>
          <w:szCs w:val="32"/>
          <w:highlight w:val="none"/>
        </w:rPr>
        <w:t>资产评估师应当提醒</w:t>
      </w:r>
      <w:r>
        <w:rPr>
          <w:rFonts w:ascii="仿宋_GB2312" w:hAnsi="Times New Roman" w:eastAsia="仿宋_GB2312" w:cs="Times New Roman"/>
          <w:color w:val="auto"/>
          <w:sz w:val="32"/>
          <w:szCs w:val="32"/>
          <w:highlight w:val="none"/>
        </w:rPr>
        <w:t>委托方</w:t>
      </w:r>
      <w:r>
        <w:rPr>
          <w:rFonts w:hint="eastAsia" w:ascii="仿宋_GB2312" w:hAnsi="Times New Roman" w:eastAsia="仿宋_GB2312" w:cs="Times New Roman"/>
          <w:color w:val="auto"/>
          <w:sz w:val="32"/>
          <w:szCs w:val="32"/>
          <w:highlight w:val="none"/>
        </w:rPr>
        <w:t>根据项目具体情况以及会计准则要求，合理确定评估对象。评估对象可以是单项知识产权资产，也可以是知识产权资产组合或</w:t>
      </w:r>
      <w:r>
        <w:rPr>
          <w:rFonts w:hint="eastAsia" w:ascii="仿宋_GB2312" w:hAnsi="Times New Roman" w:eastAsia="仿宋_GB2312" w:cs="Times New Roman"/>
          <w:color w:val="auto"/>
          <w:sz w:val="32"/>
          <w:szCs w:val="32"/>
          <w:highlight w:val="none"/>
          <w:lang w:eastAsia="zh-CN"/>
        </w:rPr>
        <w:t>者</w:t>
      </w:r>
      <w:r>
        <w:rPr>
          <w:rFonts w:hint="eastAsia" w:ascii="仿宋_GB2312" w:hAnsi="Times New Roman" w:eastAsia="仿宋_GB2312" w:cs="Times New Roman"/>
          <w:color w:val="auto"/>
          <w:sz w:val="32"/>
          <w:szCs w:val="32"/>
          <w:highlight w:val="none"/>
        </w:rPr>
        <w:t>与其他有形和无形资产组成的资产组。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_GB2312" w:hAnsi="Times New Roman" w:eastAsia="仿宋_GB2312" w:cs="Times New Roman"/>
          <w:color w:val="auto"/>
          <w:sz w:val="32"/>
          <w:szCs w:val="32"/>
          <w:highlight w:val="none"/>
        </w:rPr>
      </w:pPr>
      <w:r>
        <w:rPr>
          <w:rFonts w:hint="eastAsia" w:ascii="Times New Roman" w:hAnsi="Times New Roman" w:eastAsia="仿宋_GB2312" w:cs="Times New Roman"/>
          <w:b/>
          <w:bCs/>
          <w:color w:val="auto"/>
          <w:sz w:val="32"/>
          <w:szCs w:val="32"/>
          <w:highlight w:val="none"/>
          <w:lang w:eastAsia="zh-CN"/>
        </w:rPr>
        <w:t>第五十六条</w:t>
      </w:r>
      <w:r>
        <w:rPr>
          <w:rFonts w:hint="eastAsia" w:ascii="Times New Roman" w:hAnsi="Times New Roman" w:eastAsia="仿宋_GB2312" w:cs="Times New Roman"/>
          <w:b/>
          <w:bCs/>
          <w:color w:val="auto"/>
          <w:sz w:val="32"/>
          <w:szCs w:val="32"/>
          <w:highlight w:val="none"/>
          <w:lang w:val="en-US" w:eastAsia="zh-CN"/>
        </w:rPr>
        <w:t xml:space="preserve"> </w:t>
      </w:r>
      <w:r>
        <w:rPr>
          <w:rFonts w:hint="eastAsia" w:ascii="仿宋_GB2312" w:hAnsi="Times New Roman" w:eastAsia="仿宋_GB2312" w:cs="Times New Roman"/>
          <w:color w:val="auto"/>
          <w:sz w:val="32"/>
          <w:szCs w:val="32"/>
          <w:highlight w:val="none"/>
          <w:lang w:val="en-US" w:eastAsia="zh-CN"/>
        </w:rPr>
        <w:t xml:space="preserve"> </w:t>
      </w:r>
      <w:r>
        <w:rPr>
          <w:rFonts w:hint="eastAsia" w:ascii="仿宋_GB2312" w:hAnsi="Times New Roman" w:eastAsia="仿宋_GB2312" w:cs="Times New Roman"/>
          <w:color w:val="auto"/>
          <w:sz w:val="32"/>
          <w:szCs w:val="32"/>
          <w:highlight w:val="none"/>
        </w:rPr>
        <w:t>资产评估师应当知晓，在执行会计准则规定的合并对价分摊事项涉及的知识产权资产评估业务时，购买方取得的被购买方拥有的但在其财务报表上未确认的知识产权资产被确认为无形资产的，需满足以下条件之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（一）源于合同性权利或者其他法定权利；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（二）能够从被购买方资产分离或者划分出来，并能单独或者与相关合同、资产和负债一起，用于出售、转移、授予许可、租赁或</w:t>
      </w:r>
      <w:r>
        <w:rPr>
          <w:rFonts w:hint="eastAsia" w:ascii="Times New Roman" w:hAnsi="Times New Roman" w:eastAsia="仿宋_GB2312" w:cs="Times New Roman"/>
          <w:color w:val="auto"/>
          <w:sz w:val="32"/>
          <w:szCs w:val="32"/>
          <w:highlight w:val="none"/>
          <w:lang w:eastAsia="zh-CN"/>
        </w:rPr>
        <w:t>者</w:t>
      </w:r>
      <w:r>
        <w:rPr>
          <w:rFonts w:hint="eastAsia" w:ascii="Times New Roman" w:hAnsi="Times New Roman" w:eastAsia="仿宋_GB2312" w:cs="Times New Roman"/>
          <w:color w:val="auto"/>
          <w:sz w:val="32"/>
          <w:szCs w:val="32"/>
          <w:highlight w:val="none"/>
        </w:rPr>
        <w:t>交换。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rPr>
          <w:rFonts w:ascii="仿宋_GB2312" w:hAnsi="Times New Roman" w:eastAsia="仿宋_GB2312" w:cs="Times New Roman"/>
          <w:color w:val="auto"/>
          <w:sz w:val="32"/>
          <w:szCs w:val="32"/>
          <w:highlight w:val="none"/>
        </w:rPr>
      </w:pPr>
      <w:r>
        <w:rPr>
          <w:rFonts w:hint="eastAsia" w:ascii="Times New Roman" w:hAnsi="Times New Roman" w:eastAsia="仿宋_GB2312" w:cs="Times New Roman"/>
          <w:b/>
          <w:bCs/>
          <w:color w:val="auto"/>
          <w:sz w:val="32"/>
          <w:szCs w:val="32"/>
          <w:highlight w:val="none"/>
          <w:lang w:eastAsia="zh-CN"/>
        </w:rPr>
        <w:t>第五十七条</w:t>
      </w:r>
      <w:r>
        <w:rPr>
          <w:rFonts w:hint="eastAsia" w:ascii="Times New Roman" w:hAnsi="Times New Roman" w:eastAsia="仿宋_GB2312" w:cs="Times New Roman"/>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rPr>
        <w:t>资产评估师应当知晓，在执行会计准则规定的合并对价</w:t>
      </w:r>
      <w:r>
        <w:rPr>
          <w:rFonts w:hint="eastAsia" w:ascii="仿宋_GB2312" w:hAnsi="Times New Roman" w:eastAsia="仿宋_GB2312" w:cs="Times New Roman"/>
          <w:color w:val="auto"/>
          <w:sz w:val="32"/>
          <w:szCs w:val="32"/>
          <w:highlight w:val="none"/>
        </w:rPr>
        <w:t>分摊事项涉及的知识产权资产评估业务时，如果知识产权资产是不可分离的或者其市场价值不能可靠计量，应当将该项知识产权资产所在的最小资产组作为评估对象；如果与被评估的知识产权资产相联系资产的单独市场价值能可靠计量，且各单项资产具有相同或者近似的使用寿命，可以将该项知识产权资产所在的最小资产组作为评估对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rPr>
          <w:rFonts w:ascii="仿宋_GB2312" w:hAnsi="Times New Roman" w:eastAsia="仿宋_GB2312" w:cs="Times New Roman"/>
          <w:sz w:val="32"/>
          <w:szCs w:val="32"/>
        </w:rPr>
      </w:pPr>
      <w:r>
        <w:rPr>
          <w:rFonts w:hint="eastAsia" w:ascii="Times New Roman" w:hAnsi="Times New Roman" w:eastAsia="仿宋_GB2312" w:cs="Times New Roman"/>
          <w:b/>
          <w:bCs/>
          <w:color w:val="auto"/>
          <w:sz w:val="32"/>
          <w:szCs w:val="32"/>
          <w:highlight w:val="none"/>
          <w:lang w:eastAsia="zh-CN"/>
        </w:rPr>
        <w:t>第五十八条</w:t>
      </w:r>
      <w:r>
        <w:rPr>
          <w:rFonts w:hint="eastAsia" w:ascii="仿宋_GB2312" w:hAnsi="Times New Roman" w:eastAsia="仿宋_GB2312" w:cs="Times New Roman"/>
          <w:color w:val="auto"/>
          <w:sz w:val="32"/>
          <w:szCs w:val="32"/>
          <w:highlight w:val="none"/>
          <w:lang w:val="en-US" w:eastAsia="zh-CN"/>
        </w:rPr>
        <w:t xml:space="preserve">  </w:t>
      </w:r>
      <w:r>
        <w:rPr>
          <w:rFonts w:hint="eastAsia" w:ascii="仿宋_GB2312" w:hAnsi="Times New Roman" w:eastAsia="仿宋_GB2312" w:cs="Times New Roman"/>
          <w:color w:val="auto"/>
          <w:sz w:val="32"/>
          <w:szCs w:val="32"/>
          <w:highlight w:val="none"/>
        </w:rPr>
        <w:t>资产评估师在执行会计准则规定的减值测试涉及的知识产权资产评估业务时，应当知晓，使用寿命不确定的知识产权资产，一般每年都进行减值测试，而使用寿命确定的知识产权资产只有在存在明显的减值迹象时才进行减值测试。</w:t>
      </w:r>
    </w:p>
    <w:p>
      <w:pPr>
        <w:keepNext/>
        <w:keepLines/>
        <w:pageBreakBefore w:val="0"/>
        <w:numPr>
          <w:ilvl w:val="0"/>
          <w:numId w:val="1"/>
        </w:numPr>
        <w:kinsoku/>
        <w:wordWrap/>
        <w:overflowPunct/>
        <w:topLinePunct w:val="0"/>
        <w:autoSpaceDN/>
        <w:bidi w:val="0"/>
        <w:spacing w:line="360" w:lineRule="auto"/>
        <w:ind w:right="0" w:rightChars="0"/>
        <w:jc w:val="center"/>
        <w:textAlignment w:val="auto"/>
        <w:outlineLvl w:val="1"/>
        <w:rPr>
          <w:rFonts w:ascii="仿宋_GB2312" w:hAnsi="Calibri Light" w:eastAsia="仿宋_GB2312" w:cs="黑体"/>
          <w:b/>
          <w:bCs/>
          <w:sz w:val="32"/>
          <w:szCs w:val="32"/>
        </w:rPr>
      </w:pPr>
      <w:r>
        <w:rPr>
          <w:rFonts w:hint="eastAsia" w:ascii="仿宋_GB2312" w:hAnsi="Calibri Light" w:eastAsia="仿宋_GB2312" w:cs="黑体"/>
          <w:b/>
          <w:bCs/>
          <w:sz w:val="32"/>
          <w:szCs w:val="32"/>
        </w:rPr>
        <w:t xml:space="preserve"> 附则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ascii="仿宋_GB2312" w:hAnsi="Times New Roman" w:eastAsia="仿宋_GB2312" w:cs="Times New Roman"/>
          <w:sz w:val="32"/>
          <w:szCs w:val="32"/>
        </w:rPr>
      </w:pPr>
      <w:r>
        <w:rPr>
          <w:rFonts w:hint="eastAsia" w:ascii="Times New Roman" w:hAnsi="Times New Roman" w:eastAsia="仿宋_GB2312" w:cs="Times New Roman"/>
          <w:b/>
          <w:bCs/>
          <w:color w:val="auto"/>
          <w:sz w:val="32"/>
          <w:szCs w:val="32"/>
          <w:highlight w:val="none"/>
          <w:lang w:eastAsia="zh-CN"/>
        </w:rPr>
        <w:t>第五十九条</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本指南自2016年7月1日起施行。</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roman"/>
    <w:pitch w:val="default"/>
    <w:sig w:usb0="00000001" w:usb1="080E0000" w:usb2="00000000" w:usb3="00000000" w:csb0="00040000" w:csb1="00000000"/>
  </w:font>
  <w:font w:name="Verdana">
    <w:panose1 w:val="020B0604030504040204"/>
    <w:charset w:val="00"/>
    <w:family w:val="modern"/>
    <w:pitch w:val="default"/>
    <w:sig w:usb0="00000287" w:usb1="00000000" w:usb2="00000000" w:usb3="00000000" w:csb0="2000019F" w:csb1="00000000"/>
  </w:font>
  <w:font w:name="华文中宋">
    <w:panose1 w:val="02010600040101010101"/>
    <w:charset w:val="86"/>
    <w:family w:val="auto"/>
    <w:pitch w:val="default"/>
    <w:sig w:usb0="00000287" w:usb1="080F0000" w:usb2="00000000" w:usb3="00000000" w:csb0="0004009F" w:csb1="DFD70000"/>
  </w:font>
  <w:font w:name="Calibri Light">
    <w:altName w:val="Calibri"/>
    <w:panose1 w:val="020F0302020204030204"/>
    <w:charset w:val="00"/>
    <w:family w:val="modern"/>
    <w:pitch w:val="default"/>
    <w:sig w:usb0="00000000" w:usb1="00000000" w:usb2="00000000" w:usb3="00000000" w:csb0="0000019F" w:csb1="00000000"/>
  </w:font>
  <w:font w:name="黑体">
    <w:panose1 w:val="02010600030101010101"/>
    <w:charset w:val="86"/>
    <w:family w:val="roma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altName w:val="仿宋_GB2312"/>
    <w:panose1 w:val="02010609060101010101"/>
    <w:charset w:val="86"/>
    <w:family w:val="auto"/>
    <w:pitch w:val="default"/>
    <w:sig w:usb0="00000000" w:usb1="00000000" w:usb2="00000016" w:usb3="00000000" w:csb0="00040001" w:csb1="00000000"/>
  </w:font>
  <w:font w:name="仿宋">
    <w:altName w:val="仿宋_GB2312"/>
    <w:panose1 w:val="02010609060101010101"/>
    <w:charset w:val="86"/>
    <w:family w:val="roman"/>
    <w:pitch w:val="default"/>
    <w:sig w:usb0="00000000" w:usb1="00000000" w:usb2="00000016" w:usb3="00000000" w:csb0="00040001" w:csb1="00000000"/>
  </w:font>
  <w:font w:name="Arial">
    <w:panose1 w:val="020B0604020202020204"/>
    <w:charset w:val="00"/>
    <w:family w:val="auto"/>
    <w:pitch w:val="default"/>
    <w:sig w:usb0="00007A87" w:usb1="80000000" w:usb2="00000008" w:usb3="00000000" w:csb0="400001FF" w:csb1="FFFF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仿宋">
    <w:altName w:val="仿宋_GB2312"/>
    <w:panose1 w:val="02010609060101010101"/>
    <w:charset w:val="86"/>
    <w:family w:val="swiss"/>
    <w:pitch w:val="default"/>
    <w:sig w:usb0="00000000" w:usb1="00000000" w:usb2="00000016" w:usb3="00000000" w:csb0="00040001" w:csb1="00000000"/>
  </w:font>
  <w:font w:name="仿宋">
    <w:altName w:val="仿宋_GB2312"/>
    <w:panose1 w:val="02010609060101010101"/>
    <w:charset w:val="86"/>
    <w:family w:val="decorative"/>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黑体">
    <w:panose1 w:val="02010600030101010101"/>
    <w:charset w:val="86"/>
    <w:family w:val="modern"/>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Verdana">
    <w:panose1 w:val="020B0604030504040204"/>
    <w:charset w:val="00"/>
    <w:family w:val="decorative"/>
    <w:pitch w:val="default"/>
    <w:sig w:usb0="00000287" w:usb1="00000000" w:usb2="00000000" w:usb3="00000000" w:csb0="2000019F" w:csb1="00000000"/>
  </w:font>
  <w:font w:name="Calibri Light">
    <w:altName w:val="Calibri"/>
    <w:panose1 w:val="020F0302020204030204"/>
    <w:charset w:val="00"/>
    <w:family w:val="decorative"/>
    <w:pitch w:val="default"/>
    <w:sig w:usb0="00000000" w:usb1="00000000" w:usb2="00000000" w:usb3="00000000" w:csb0="0000019F" w:csb1="00000000"/>
  </w:font>
  <w:font w:name="黑体">
    <w:panose1 w:val="02010600030101010101"/>
    <w:charset w:val="86"/>
    <w:family w:val="swiss"/>
    <w:pitch w:val="default"/>
    <w:sig w:usb0="00000001" w:usb1="080E0000" w:usb2="00000000" w:usb3="00000000" w:csb0="00040000" w:csb1="00000000"/>
  </w:font>
  <w:font w:name="Verdana">
    <w:panose1 w:val="020B0604030504040204"/>
    <w:charset w:val="00"/>
    <w:family w:val="roman"/>
    <w:pitch w:val="default"/>
    <w:sig w:usb0="00000287" w:usb1="00000000" w:usb2="00000000" w:usb3="00000000" w:csb0="2000019F" w:csb1="00000000"/>
  </w:font>
  <w:font w:name="Calibri Light">
    <w:altName w:val="Calibri"/>
    <w:panose1 w:val="020F0302020204030204"/>
    <w:charset w:val="00"/>
    <w:family w:val="roman"/>
    <w:pitch w:val="default"/>
    <w:sig w:usb0="00000000" w:usb1="00000000" w:usb2="00000000" w:usb3="00000000" w:csb0="0000019F" w:csb1="00000000"/>
  </w:font>
  <w:font w:name="黑体">
    <w:panose1 w:val="02010600030101010101"/>
    <w:charset w:val="86"/>
    <w:family w:val="decorative"/>
    <w:pitch w:val="default"/>
    <w:sig w:usb0="00000001" w:usb1="080E0000" w:usb2="00000000" w:usb3="00000000" w:csb0="00040000" w:csb1="00000000"/>
  </w:font>
  <w:font w:name="Calibri">
    <w:panose1 w:val="020F0502020204030204"/>
    <w:charset w:val="00"/>
    <w:family w:val="modern"/>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黑体">
    <w:panose1 w:val="02010600030101010101"/>
    <w:charset w:val="86"/>
    <w:family w:val="auto"/>
    <w:pitch w:val="default"/>
    <w:sig w:usb0="00000001" w:usb1="080E0000" w:usb2="00000000" w:usb3="00000000" w:csb0="00040000" w:csb1="00000000"/>
  </w:font>
  <w:font w:name="汉仪仿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55685111"/>
                          </w:sdtPr>
                          <w:sdtContent>
                            <w:p>
                              <w:pPr>
                                <w:pStyle w:val="5"/>
                                <w:jc w:val="center"/>
                              </w:pPr>
                              <w:r>
                                <w:fldChar w:fldCharType="begin"/>
                              </w:r>
                              <w:r>
                                <w:instrText xml:space="preserve">PAGE   \* MERGEFORMAT</w:instrText>
                              </w:r>
                              <w:r>
                                <w:fldChar w:fldCharType="separate"/>
                              </w:r>
                              <w:r>
                                <w:t>1</w:t>
                              </w:r>
                              <w:r>
                                <w:fldChar w:fldCharType="end"/>
                              </w:r>
                            </w:p>
                          </w:sdtContent>
                        </w:sdt>
                        <w:p>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sdt>
                    <w:sdtPr>
                      <w:id w:val="-2055685111"/>
                    </w:sdtPr>
                    <w:sdtContent>
                      <w:p>
                        <w:pPr>
                          <w:pStyle w:val="5"/>
                          <w:jc w:val="center"/>
                        </w:pPr>
                        <w:r>
                          <w:fldChar w:fldCharType="begin"/>
                        </w:r>
                        <w:r>
                          <w:instrText xml:space="preserve">PAGE   \* MERGEFORMAT</w:instrText>
                        </w:r>
                        <w:r>
                          <w:fldChar w:fldCharType="separate"/>
                        </w:r>
                        <w:r>
                          <w:t>1</w:t>
                        </w:r>
                        <w:r>
                          <w:fldChar w:fldCharType="end"/>
                        </w:r>
                      </w:p>
                    </w:sdtContent>
                  </w:sdt>
                  <w:p>
                    <w:pPr/>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3085082">
    <w:nsid w:val="569C519A"/>
    <w:multiLevelType w:val="multilevel"/>
    <w:tmpl w:val="569C519A"/>
    <w:lvl w:ilvl="0" w:tentative="1">
      <w:start w:val="1"/>
      <w:numFmt w:val="chineseCountingThousand"/>
      <w:lvlText w:val="（%1）"/>
      <w:lvlJc w:val="left"/>
      <w:pPr>
        <w:ind w:left="980" w:hanging="420"/>
      </w:pPr>
      <w:rPr>
        <w:rFonts w:hint="eastAsia" w:ascii="宋体" w:hAnsi="宋体" w:eastAsia="宋体"/>
      </w:rPr>
    </w:lvl>
    <w:lvl w:ilvl="1" w:tentative="1">
      <w:start w:val="1"/>
      <w:numFmt w:val="chineseCountingThousand"/>
      <w:lvlText w:val="（%2）"/>
      <w:lvlJc w:val="left"/>
      <w:pPr>
        <w:ind w:left="1400" w:hanging="420"/>
      </w:pPr>
      <w:rPr>
        <w:rFonts w:hint="eastAsia" w:ascii="仿宋_GB2312" w:hAnsi="宋体" w:eastAsia="仿宋_GB2312"/>
      </w:rPr>
    </w:lvl>
    <w:lvl w:ilvl="2" w:tentative="1">
      <w:start w:val="1"/>
      <w:numFmt w:val="lowerRoman"/>
      <w:lvlText w:val="%3."/>
      <w:lvlJc w:val="right"/>
      <w:pPr>
        <w:ind w:left="1820" w:hanging="420"/>
      </w:pPr>
      <w:rPr>
        <w:rFonts w:hint="default" w:ascii="Times New Roman" w:hAnsi="Times New Roman" w:cs="Times New Roman"/>
      </w:rPr>
    </w:lvl>
    <w:lvl w:ilvl="3" w:tentative="1">
      <w:start w:val="1"/>
      <w:numFmt w:val="decimal"/>
      <w:lvlText w:val="%4."/>
      <w:lvlJc w:val="left"/>
      <w:pPr>
        <w:ind w:left="2240" w:hanging="420"/>
      </w:pPr>
      <w:rPr>
        <w:rFonts w:hint="default" w:ascii="Times New Roman" w:hAnsi="Times New Roman" w:cs="Times New Roman"/>
      </w:rPr>
    </w:lvl>
    <w:lvl w:ilvl="4" w:tentative="1">
      <w:start w:val="1"/>
      <w:numFmt w:val="lowerLetter"/>
      <w:lvlText w:val="%5)"/>
      <w:lvlJc w:val="left"/>
      <w:pPr>
        <w:ind w:left="2660" w:hanging="420"/>
      </w:pPr>
      <w:rPr>
        <w:rFonts w:hint="default" w:ascii="Times New Roman" w:hAnsi="Times New Roman" w:cs="Times New Roman"/>
      </w:rPr>
    </w:lvl>
    <w:lvl w:ilvl="5" w:tentative="1">
      <w:start w:val="1"/>
      <w:numFmt w:val="lowerRoman"/>
      <w:lvlText w:val="%6."/>
      <w:lvlJc w:val="right"/>
      <w:pPr>
        <w:ind w:left="3080" w:hanging="420"/>
      </w:pPr>
      <w:rPr>
        <w:rFonts w:hint="default" w:ascii="Times New Roman" w:hAnsi="Times New Roman" w:cs="Times New Roman"/>
      </w:rPr>
    </w:lvl>
    <w:lvl w:ilvl="6" w:tentative="1">
      <w:start w:val="1"/>
      <w:numFmt w:val="decimal"/>
      <w:lvlText w:val="%7."/>
      <w:lvlJc w:val="left"/>
      <w:pPr>
        <w:ind w:left="3500" w:hanging="420"/>
      </w:pPr>
      <w:rPr>
        <w:rFonts w:hint="default" w:ascii="Times New Roman" w:hAnsi="Times New Roman" w:cs="Times New Roman"/>
      </w:rPr>
    </w:lvl>
    <w:lvl w:ilvl="7" w:tentative="1">
      <w:start w:val="1"/>
      <w:numFmt w:val="lowerLetter"/>
      <w:lvlText w:val="%8)"/>
      <w:lvlJc w:val="left"/>
      <w:pPr>
        <w:ind w:left="3920" w:hanging="420"/>
      </w:pPr>
      <w:rPr>
        <w:rFonts w:hint="default" w:ascii="Times New Roman" w:hAnsi="Times New Roman" w:cs="Times New Roman"/>
      </w:rPr>
    </w:lvl>
    <w:lvl w:ilvl="8" w:tentative="1">
      <w:start w:val="1"/>
      <w:numFmt w:val="lowerRoman"/>
      <w:lvlText w:val="%9."/>
      <w:lvlJc w:val="right"/>
      <w:pPr>
        <w:ind w:left="4340" w:hanging="420"/>
      </w:pPr>
      <w:rPr>
        <w:rFonts w:hint="default" w:ascii="Times New Roman" w:hAnsi="Times New Roman" w:cs="Times New Roman"/>
      </w:rPr>
    </w:lvl>
  </w:abstractNum>
  <w:abstractNum w:abstractNumId="1453085071">
    <w:nsid w:val="569C518F"/>
    <w:multiLevelType w:val="multilevel"/>
    <w:tmpl w:val="569C518F"/>
    <w:lvl w:ilvl="0" w:tentative="1">
      <w:start w:val="1"/>
      <w:numFmt w:val="chineseCountingThousand"/>
      <w:lvlText w:val="第%1章"/>
      <w:lvlJc w:val="left"/>
      <w:pPr>
        <w:ind w:left="420" w:hanging="420"/>
      </w:pPr>
      <w:rPr>
        <w:rFonts w:hint="eastAsia" w:ascii="仿宋_GB2312" w:hAnsi="宋体" w:eastAsia="仿宋_GB2312"/>
        <w:b/>
        <w:lang w:val="en-US"/>
      </w:rPr>
    </w:lvl>
    <w:lvl w:ilvl="1" w:tentative="1">
      <w:start w:val="1"/>
      <w:numFmt w:val="lowerLetter"/>
      <w:lvlText w:val="%2)"/>
      <w:lvlJc w:val="left"/>
      <w:pPr>
        <w:ind w:left="840" w:hanging="420"/>
      </w:pPr>
      <w:rPr>
        <w:rFonts w:hint="default" w:ascii="Times New Roman" w:hAnsi="Times New Roman" w:cs="Times New Roman"/>
      </w:rPr>
    </w:lvl>
    <w:lvl w:ilvl="2" w:tentative="1">
      <w:start w:val="1"/>
      <w:numFmt w:val="lowerRoman"/>
      <w:lvlText w:val="%3."/>
      <w:lvlJc w:val="right"/>
      <w:pPr>
        <w:ind w:left="1260" w:hanging="420"/>
      </w:pPr>
      <w:rPr>
        <w:rFonts w:hint="default" w:ascii="Times New Roman" w:hAnsi="Times New Roman" w:cs="Times New Roman"/>
      </w:rPr>
    </w:lvl>
    <w:lvl w:ilvl="3" w:tentative="1">
      <w:start w:val="1"/>
      <w:numFmt w:val="decimal"/>
      <w:lvlText w:val="%4."/>
      <w:lvlJc w:val="left"/>
      <w:pPr>
        <w:ind w:left="1680" w:hanging="420"/>
      </w:pPr>
      <w:rPr>
        <w:rFonts w:hint="default" w:ascii="Times New Roman" w:hAnsi="Times New Roman" w:cs="Times New Roman"/>
      </w:rPr>
    </w:lvl>
    <w:lvl w:ilvl="4" w:tentative="1">
      <w:start w:val="1"/>
      <w:numFmt w:val="lowerLetter"/>
      <w:lvlText w:val="%5)"/>
      <w:lvlJc w:val="left"/>
      <w:pPr>
        <w:ind w:left="2100" w:hanging="420"/>
      </w:pPr>
      <w:rPr>
        <w:rFonts w:hint="default" w:ascii="Times New Roman" w:hAnsi="Times New Roman" w:cs="Times New Roman"/>
      </w:rPr>
    </w:lvl>
    <w:lvl w:ilvl="5" w:tentative="1">
      <w:start w:val="1"/>
      <w:numFmt w:val="lowerRoman"/>
      <w:lvlText w:val="%6."/>
      <w:lvlJc w:val="right"/>
      <w:pPr>
        <w:ind w:left="2520" w:hanging="420"/>
      </w:pPr>
      <w:rPr>
        <w:rFonts w:hint="default" w:ascii="Times New Roman" w:hAnsi="Times New Roman" w:cs="Times New Roman"/>
      </w:rPr>
    </w:lvl>
    <w:lvl w:ilvl="6" w:tentative="1">
      <w:start w:val="1"/>
      <w:numFmt w:val="decimal"/>
      <w:lvlText w:val="%7."/>
      <w:lvlJc w:val="left"/>
      <w:pPr>
        <w:ind w:left="2940" w:hanging="420"/>
      </w:pPr>
      <w:rPr>
        <w:rFonts w:hint="default" w:ascii="Times New Roman" w:hAnsi="Times New Roman" w:cs="Times New Roman"/>
      </w:rPr>
    </w:lvl>
    <w:lvl w:ilvl="7" w:tentative="1">
      <w:start w:val="1"/>
      <w:numFmt w:val="lowerLetter"/>
      <w:lvlText w:val="%8)"/>
      <w:lvlJc w:val="left"/>
      <w:pPr>
        <w:ind w:left="3360" w:hanging="420"/>
      </w:pPr>
      <w:rPr>
        <w:rFonts w:hint="default" w:ascii="Times New Roman" w:hAnsi="Times New Roman" w:cs="Times New Roman"/>
      </w:rPr>
    </w:lvl>
    <w:lvl w:ilvl="8" w:tentative="1">
      <w:start w:val="1"/>
      <w:numFmt w:val="lowerRoman"/>
      <w:lvlText w:val="%9."/>
      <w:lvlJc w:val="right"/>
      <w:pPr>
        <w:ind w:left="3780" w:hanging="420"/>
      </w:pPr>
      <w:rPr>
        <w:rFonts w:hint="default" w:ascii="Times New Roman" w:hAnsi="Times New Roman" w:cs="Times New Roman"/>
      </w:rPr>
    </w:lvl>
  </w:abstractNum>
  <w:num w:numId="1">
    <w:abstractNumId w:val="1453085071"/>
    <w:lvlOverride w:ilvl="0">
      <w:startOverride w:val="1"/>
    </w:lvlOverride>
  </w:num>
  <w:num w:numId="2">
    <w:abstractNumId w:val="1453085082"/>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3F"/>
    <w:rsid w:val="000105B0"/>
    <w:rsid w:val="000115D5"/>
    <w:rsid w:val="00026830"/>
    <w:rsid w:val="00027D91"/>
    <w:rsid w:val="00033F95"/>
    <w:rsid w:val="00037078"/>
    <w:rsid w:val="00065FF0"/>
    <w:rsid w:val="000716AD"/>
    <w:rsid w:val="000728C0"/>
    <w:rsid w:val="00076229"/>
    <w:rsid w:val="00087964"/>
    <w:rsid w:val="000B1B64"/>
    <w:rsid w:val="000C27D2"/>
    <w:rsid w:val="000C2885"/>
    <w:rsid w:val="000D3C1D"/>
    <w:rsid w:val="000D66C3"/>
    <w:rsid w:val="000E4D83"/>
    <w:rsid w:val="000E6E43"/>
    <w:rsid w:val="00101CEC"/>
    <w:rsid w:val="00106135"/>
    <w:rsid w:val="00110021"/>
    <w:rsid w:val="001106C2"/>
    <w:rsid w:val="00112569"/>
    <w:rsid w:val="00112792"/>
    <w:rsid w:val="00112B3E"/>
    <w:rsid w:val="001132C5"/>
    <w:rsid w:val="00124B34"/>
    <w:rsid w:val="00127107"/>
    <w:rsid w:val="001321A8"/>
    <w:rsid w:val="001362B3"/>
    <w:rsid w:val="00141A24"/>
    <w:rsid w:val="001643F7"/>
    <w:rsid w:val="00172C1E"/>
    <w:rsid w:val="0017302A"/>
    <w:rsid w:val="00174913"/>
    <w:rsid w:val="00182004"/>
    <w:rsid w:val="0019085F"/>
    <w:rsid w:val="0019133F"/>
    <w:rsid w:val="00194219"/>
    <w:rsid w:val="001A7426"/>
    <w:rsid w:val="001B4408"/>
    <w:rsid w:val="001B4D8A"/>
    <w:rsid w:val="001C48F0"/>
    <w:rsid w:val="001D4CBE"/>
    <w:rsid w:val="001D6A8D"/>
    <w:rsid w:val="001E058B"/>
    <w:rsid w:val="001E3F45"/>
    <w:rsid w:val="001F2C01"/>
    <w:rsid w:val="001F3E5B"/>
    <w:rsid w:val="00203B2A"/>
    <w:rsid w:val="0021766F"/>
    <w:rsid w:val="00220C84"/>
    <w:rsid w:val="0022183D"/>
    <w:rsid w:val="002315B1"/>
    <w:rsid w:val="002366D7"/>
    <w:rsid w:val="00255B60"/>
    <w:rsid w:val="0028450B"/>
    <w:rsid w:val="002877AC"/>
    <w:rsid w:val="002976AB"/>
    <w:rsid w:val="002A021E"/>
    <w:rsid w:val="002B7223"/>
    <w:rsid w:val="002C2E8B"/>
    <w:rsid w:val="002C4C8F"/>
    <w:rsid w:val="002C7145"/>
    <w:rsid w:val="002D1661"/>
    <w:rsid w:val="002E2065"/>
    <w:rsid w:val="002E5970"/>
    <w:rsid w:val="002E7414"/>
    <w:rsid w:val="002F1AE6"/>
    <w:rsid w:val="00336446"/>
    <w:rsid w:val="00350C83"/>
    <w:rsid w:val="00360780"/>
    <w:rsid w:val="003812ED"/>
    <w:rsid w:val="003822EC"/>
    <w:rsid w:val="00385867"/>
    <w:rsid w:val="0039124F"/>
    <w:rsid w:val="00391E9A"/>
    <w:rsid w:val="003937C1"/>
    <w:rsid w:val="003B4854"/>
    <w:rsid w:val="003D21A8"/>
    <w:rsid w:val="003D5722"/>
    <w:rsid w:val="003D5867"/>
    <w:rsid w:val="003D7773"/>
    <w:rsid w:val="003E355A"/>
    <w:rsid w:val="003E6831"/>
    <w:rsid w:val="00411068"/>
    <w:rsid w:val="004261AF"/>
    <w:rsid w:val="00433F3E"/>
    <w:rsid w:val="004344AC"/>
    <w:rsid w:val="004402FA"/>
    <w:rsid w:val="00441DA2"/>
    <w:rsid w:val="00455364"/>
    <w:rsid w:val="00455D87"/>
    <w:rsid w:val="004712C9"/>
    <w:rsid w:val="0047352A"/>
    <w:rsid w:val="00480BE4"/>
    <w:rsid w:val="00494C7E"/>
    <w:rsid w:val="004A7300"/>
    <w:rsid w:val="004B654C"/>
    <w:rsid w:val="004C663D"/>
    <w:rsid w:val="004E574B"/>
    <w:rsid w:val="004F4287"/>
    <w:rsid w:val="004F44EC"/>
    <w:rsid w:val="004F608E"/>
    <w:rsid w:val="00503C58"/>
    <w:rsid w:val="00510686"/>
    <w:rsid w:val="00512454"/>
    <w:rsid w:val="00514418"/>
    <w:rsid w:val="0051573D"/>
    <w:rsid w:val="00530643"/>
    <w:rsid w:val="00532FA8"/>
    <w:rsid w:val="005350A0"/>
    <w:rsid w:val="00545332"/>
    <w:rsid w:val="00554942"/>
    <w:rsid w:val="005719FF"/>
    <w:rsid w:val="00576A82"/>
    <w:rsid w:val="00581975"/>
    <w:rsid w:val="00585A0A"/>
    <w:rsid w:val="005A4323"/>
    <w:rsid w:val="005A6F44"/>
    <w:rsid w:val="005B6990"/>
    <w:rsid w:val="005C2001"/>
    <w:rsid w:val="005C36BD"/>
    <w:rsid w:val="005C3EFA"/>
    <w:rsid w:val="005E09E1"/>
    <w:rsid w:val="005E1C13"/>
    <w:rsid w:val="005E53B4"/>
    <w:rsid w:val="005E5703"/>
    <w:rsid w:val="005E7510"/>
    <w:rsid w:val="006061D8"/>
    <w:rsid w:val="006067B5"/>
    <w:rsid w:val="0060782C"/>
    <w:rsid w:val="00610FDA"/>
    <w:rsid w:val="00614F44"/>
    <w:rsid w:val="006168A3"/>
    <w:rsid w:val="006179F6"/>
    <w:rsid w:val="00630ACD"/>
    <w:rsid w:val="0063726D"/>
    <w:rsid w:val="006501EB"/>
    <w:rsid w:val="00674E50"/>
    <w:rsid w:val="0067750F"/>
    <w:rsid w:val="00695E68"/>
    <w:rsid w:val="00697F8F"/>
    <w:rsid w:val="006A3DB1"/>
    <w:rsid w:val="006C01AC"/>
    <w:rsid w:val="006C4C68"/>
    <w:rsid w:val="006D69D8"/>
    <w:rsid w:val="006E31BC"/>
    <w:rsid w:val="006E453F"/>
    <w:rsid w:val="006E5C90"/>
    <w:rsid w:val="00700965"/>
    <w:rsid w:val="00706F86"/>
    <w:rsid w:val="0072069C"/>
    <w:rsid w:val="0073603F"/>
    <w:rsid w:val="007367BE"/>
    <w:rsid w:val="00743B0B"/>
    <w:rsid w:val="0074580A"/>
    <w:rsid w:val="00756758"/>
    <w:rsid w:val="00760330"/>
    <w:rsid w:val="0076244D"/>
    <w:rsid w:val="0077011E"/>
    <w:rsid w:val="0077560D"/>
    <w:rsid w:val="007829B2"/>
    <w:rsid w:val="00791EFB"/>
    <w:rsid w:val="007B12EB"/>
    <w:rsid w:val="007D1142"/>
    <w:rsid w:val="007D4AA7"/>
    <w:rsid w:val="007E0228"/>
    <w:rsid w:val="007E2BAC"/>
    <w:rsid w:val="007E3B22"/>
    <w:rsid w:val="00815B69"/>
    <w:rsid w:val="00815C34"/>
    <w:rsid w:val="00821A88"/>
    <w:rsid w:val="00827E31"/>
    <w:rsid w:val="0083187D"/>
    <w:rsid w:val="00844AC0"/>
    <w:rsid w:val="00852909"/>
    <w:rsid w:val="00853381"/>
    <w:rsid w:val="00863398"/>
    <w:rsid w:val="00890828"/>
    <w:rsid w:val="008A410F"/>
    <w:rsid w:val="008A4248"/>
    <w:rsid w:val="008A5E22"/>
    <w:rsid w:val="008B4AE2"/>
    <w:rsid w:val="008B4F5E"/>
    <w:rsid w:val="008B531A"/>
    <w:rsid w:val="008D5E59"/>
    <w:rsid w:val="008D6DD5"/>
    <w:rsid w:val="008E40D8"/>
    <w:rsid w:val="008F1D89"/>
    <w:rsid w:val="008F7D2E"/>
    <w:rsid w:val="00921F36"/>
    <w:rsid w:val="009369A5"/>
    <w:rsid w:val="00937731"/>
    <w:rsid w:val="00944AE8"/>
    <w:rsid w:val="00955EC2"/>
    <w:rsid w:val="00992188"/>
    <w:rsid w:val="00995C8A"/>
    <w:rsid w:val="009A2DDA"/>
    <w:rsid w:val="009A3EE8"/>
    <w:rsid w:val="009A7D27"/>
    <w:rsid w:val="009A7E43"/>
    <w:rsid w:val="009D37E5"/>
    <w:rsid w:val="009D60AC"/>
    <w:rsid w:val="009D749B"/>
    <w:rsid w:val="009F3E99"/>
    <w:rsid w:val="009F4E3D"/>
    <w:rsid w:val="00A02F7C"/>
    <w:rsid w:val="00A10A6D"/>
    <w:rsid w:val="00A164AA"/>
    <w:rsid w:val="00A35B1F"/>
    <w:rsid w:val="00A45105"/>
    <w:rsid w:val="00A45DA8"/>
    <w:rsid w:val="00A471F8"/>
    <w:rsid w:val="00A62869"/>
    <w:rsid w:val="00A75536"/>
    <w:rsid w:val="00A803DB"/>
    <w:rsid w:val="00A83927"/>
    <w:rsid w:val="00A91179"/>
    <w:rsid w:val="00A91738"/>
    <w:rsid w:val="00A932FB"/>
    <w:rsid w:val="00AA1AB7"/>
    <w:rsid w:val="00AA5AAF"/>
    <w:rsid w:val="00AA5D63"/>
    <w:rsid w:val="00AB5970"/>
    <w:rsid w:val="00AB6E5F"/>
    <w:rsid w:val="00AC1BD1"/>
    <w:rsid w:val="00AD0C8B"/>
    <w:rsid w:val="00AF2D4D"/>
    <w:rsid w:val="00B000D3"/>
    <w:rsid w:val="00B1153B"/>
    <w:rsid w:val="00B22F20"/>
    <w:rsid w:val="00B31A3C"/>
    <w:rsid w:val="00B5481E"/>
    <w:rsid w:val="00B8143E"/>
    <w:rsid w:val="00B86850"/>
    <w:rsid w:val="00B90762"/>
    <w:rsid w:val="00B96EAA"/>
    <w:rsid w:val="00BA392F"/>
    <w:rsid w:val="00BA6A10"/>
    <w:rsid w:val="00BA7C7E"/>
    <w:rsid w:val="00BB2B53"/>
    <w:rsid w:val="00BD11D6"/>
    <w:rsid w:val="00BD2052"/>
    <w:rsid w:val="00BD4CBB"/>
    <w:rsid w:val="00BE5931"/>
    <w:rsid w:val="00BF4705"/>
    <w:rsid w:val="00BF58CB"/>
    <w:rsid w:val="00C13948"/>
    <w:rsid w:val="00C20B45"/>
    <w:rsid w:val="00C25EF1"/>
    <w:rsid w:val="00C275A9"/>
    <w:rsid w:val="00C350AB"/>
    <w:rsid w:val="00C3654D"/>
    <w:rsid w:val="00C40A14"/>
    <w:rsid w:val="00C5735D"/>
    <w:rsid w:val="00C77064"/>
    <w:rsid w:val="00C80FC3"/>
    <w:rsid w:val="00C81F20"/>
    <w:rsid w:val="00C9269B"/>
    <w:rsid w:val="00C95E08"/>
    <w:rsid w:val="00CA7E7D"/>
    <w:rsid w:val="00CC20A4"/>
    <w:rsid w:val="00CD1A4A"/>
    <w:rsid w:val="00CD6793"/>
    <w:rsid w:val="00CD6A7B"/>
    <w:rsid w:val="00CE319B"/>
    <w:rsid w:val="00CE3EA4"/>
    <w:rsid w:val="00CF156E"/>
    <w:rsid w:val="00D0687B"/>
    <w:rsid w:val="00D06D81"/>
    <w:rsid w:val="00D147AB"/>
    <w:rsid w:val="00D15D7B"/>
    <w:rsid w:val="00D231E0"/>
    <w:rsid w:val="00D33B8C"/>
    <w:rsid w:val="00D37CC8"/>
    <w:rsid w:val="00D4351F"/>
    <w:rsid w:val="00D63E9A"/>
    <w:rsid w:val="00D829AA"/>
    <w:rsid w:val="00D82CC6"/>
    <w:rsid w:val="00DB2321"/>
    <w:rsid w:val="00DB236E"/>
    <w:rsid w:val="00DB244A"/>
    <w:rsid w:val="00DB554F"/>
    <w:rsid w:val="00DB79EF"/>
    <w:rsid w:val="00DC64E3"/>
    <w:rsid w:val="00DD0596"/>
    <w:rsid w:val="00DD44C5"/>
    <w:rsid w:val="00DE4B2F"/>
    <w:rsid w:val="00DE7ADC"/>
    <w:rsid w:val="00E06E0B"/>
    <w:rsid w:val="00E07294"/>
    <w:rsid w:val="00E31152"/>
    <w:rsid w:val="00E3377C"/>
    <w:rsid w:val="00E343B0"/>
    <w:rsid w:val="00E41312"/>
    <w:rsid w:val="00E419E1"/>
    <w:rsid w:val="00E5076C"/>
    <w:rsid w:val="00E51C6C"/>
    <w:rsid w:val="00E56A52"/>
    <w:rsid w:val="00E64442"/>
    <w:rsid w:val="00E81296"/>
    <w:rsid w:val="00E83C6D"/>
    <w:rsid w:val="00E90CE6"/>
    <w:rsid w:val="00E92F2A"/>
    <w:rsid w:val="00EA2045"/>
    <w:rsid w:val="00EA7A2B"/>
    <w:rsid w:val="00EC3690"/>
    <w:rsid w:val="00ED7F55"/>
    <w:rsid w:val="00EE1653"/>
    <w:rsid w:val="00EF46CE"/>
    <w:rsid w:val="00F04CBE"/>
    <w:rsid w:val="00F0646F"/>
    <w:rsid w:val="00F20A6C"/>
    <w:rsid w:val="00F31367"/>
    <w:rsid w:val="00F3421B"/>
    <w:rsid w:val="00F35918"/>
    <w:rsid w:val="00F378C3"/>
    <w:rsid w:val="00F478A5"/>
    <w:rsid w:val="00F50745"/>
    <w:rsid w:val="00F52136"/>
    <w:rsid w:val="00F556E0"/>
    <w:rsid w:val="00F62963"/>
    <w:rsid w:val="00F66BDC"/>
    <w:rsid w:val="00F71F9C"/>
    <w:rsid w:val="00F872DB"/>
    <w:rsid w:val="00F97F58"/>
    <w:rsid w:val="00FA29E8"/>
    <w:rsid w:val="00FC1393"/>
    <w:rsid w:val="00FC6478"/>
    <w:rsid w:val="00FE179F"/>
    <w:rsid w:val="00FE4440"/>
    <w:rsid w:val="01214C67"/>
    <w:rsid w:val="01322983"/>
    <w:rsid w:val="015441BC"/>
    <w:rsid w:val="015809C4"/>
    <w:rsid w:val="0185278D"/>
    <w:rsid w:val="018C4316"/>
    <w:rsid w:val="01D86994"/>
    <w:rsid w:val="02366D2D"/>
    <w:rsid w:val="02646578"/>
    <w:rsid w:val="029C1F55"/>
    <w:rsid w:val="030054FC"/>
    <w:rsid w:val="030B000A"/>
    <w:rsid w:val="035F5516"/>
    <w:rsid w:val="03633F1C"/>
    <w:rsid w:val="03767886"/>
    <w:rsid w:val="03F01582"/>
    <w:rsid w:val="042A0462"/>
    <w:rsid w:val="04991D9B"/>
    <w:rsid w:val="04B7134B"/>
    <w:rsid w:val="04F27EAB"/>
    <w:rsid w:val="055446CC"/>
    <w:rsid w:val="055E4FDC"/>
    <w:rsid w:val="05852C9D"/>
    <w:rsid w:val="05D11A97"/>
    <w:rsid w:val="05D55F1F"/>
    <w:rsid w:val="05E816BC"/>
    <w:rsid w:val="06E076D6"/>
    <w:rsid w:val="07287ACA"/>
    <w:rsid w:val="07485E01"/>
    <w:rsid w:val="07770ECE"/>
    <w:rsid w:val="07BA06BE"/>
    <w:rsid w:val="07CE3ADB"/>
    <w:rsid w:val="07E12AFC"/>
    <w:rsid w:val="08183CB5"/>
    <w:rsid w:val="085B49C4"/>
    <w:rsid w:val="086B4C5E"/>
    <w:rsid w:val="08973524"/>
    <w:rsid w:val="08D25907"/>
    <w:rsid w:val="09280895"/>
    <w:rsid w:val="092D1499"/>
    <w:rsid w:val="0937562C"/>
    <w:rsid w:val="093E2A38"/>
    <w:rsid w:val="099346C1"/>
    <w:rsid w:val="09B174F4"/>
    <w:rsid w:val="09F46CE4"/>
    <w:rsid w:val="0A241A31"/>
    <w:rsid w:val="0BE43F91"/>
    <w:rsid w:val="0C485EB3"/>
    <w:rsid w:val="0C4B4C3A"/>
    <w:rsid w:val="0CA42D4A"/>
    <w:rsid w:val="0CA61AD0"/>
    <w:rsid w:val="0CE360B2"/>
    <w:rsid w:val="0D1E2A14"/>
    <w:rsid w:val="0D5A2878"/>
    <w:rsid w:val="0D67410D"/>
    <w:rsid w:val="0D6B4D11"/>
    <w:rsid w:val="0DD643C0"/>
    <w:rsid w:val="0E2C2BD1"/>
    <w:rsid w:val="0EBD6C3D"/>
    <w:rsid w:val="0EE05EF8"/>
    <w:rsid w:val="0EE870E1"/>
    <w:rsid w:val="0EF10390"/>
    <w:rsid w:val="0F231E64"/>
    <w:rsid w:val="0F576E3B"/>
    <w:rsid w:val="0FAC7B8D"/>
    <w:rsid w:val="10950A41"/>
    <w:rsid w:val="10B10371"/>
    <w:rsid w:val="10D95CB2"/>
    <w:rsid w:val="114640E8"/>
    <w:rsid w:val="114A726B"/>
    <w:rsid w:val="11A61B83"/>
    <w:rsid w:val="11D4394C"/>
    <w:rsid w:val="1285376F"/>
    <w:rsid w:val="128959F9"/>
    <w:rsid w:val="131D046B"/>
    <w:rsid w:val="134712AF"/>
    <w:rsid w:val="13C775FF"/>
    <w:rsid w:val="13EC5B81"/>
    <w:rsid w:val="14370BB7"/>
    <w:rsid w:val="143C0B97"/>
    <w:rsid w:val="14AE4225"/>
    <w:rsid w:val="14C72A25"/>
    <w:rsid w:val="15B56E2A"/>
    <w:rsid w:val="15D418DD"/>
    <w:rsid w:val="1664374B"/>
    <w:rsid w:val="16F72CB9"/>
    <w:rsid w:val="17240306"/>
    <w:rsid w:val="1745083A"/>
    <w:rsid w:val="17612369"/>
    <w:rsid w:val="177A3293"/>
    <w:rsid w:val="18985C69"/>
    <w:rsid w:val="18D05DC3"/>
    <w:rsid w:val="18DC2EDA"/>
    <w:rsid w:val="1A3D3D9B"/>
    <w:rsid w:val="1A4C65B4"/>
    <w:rsid w:val="1A6D6AE8"/>
    <w:rsid w:val="1A7309F2"/>
    <w:rsid w:val="1AD50A96"/>
    <w:rsid w:val="1ADE3924"/>
    <w:rsid w:val="1B4048C2"/>
    <w:rsid w:val="1C3D6D64"/>
    <w:rsid w:val="1C3E0F62"/>
    <w:rsid w:val="1C625C9F"/>
    <w:rsid w:val="1C7339BB"/>
    <w:rsid w:val="1C9209EC"/>
    <w:rsid w:val="1D091930"/>
    <w:rsid w:val="1D3A7F00"/>
    <w:rsid w:val="1DAC27BE"/>
    <w:rsid w:val="1DB37BCA"/>
    <w:rsid w:val="1DBA3CD2"/>
    <w:rsid w:val="1DDD2F8D"/>
    <w:rsid w:val="1E061BD3"/>
    <w:rsid w:val="1E730F02"/>
    <w:rsid w:val="1ED47CA2"/>
    <w:rsid w:val="1EDB762C"/>
    <w:rsid w:val="1F657590"/>
    <w:rsid w:val="1F8D4ED2"/>
    <w:rsid w:val="1F967D60"/>
    <w:rsid w:val="1FE1495C"/>
    <w:rsid w:val="20263DCB"/>
    <w:rsid w:val="21436B21"/>
    <w:rsid w:val="216F5067"/>
    <w:rsid w:val="218B6F16"/>
    <w:rsid w:val="21C328F3"/>
    <w:rsid w:val="21D62A8B"/>
    <w:rsid w:val="22DF6543"/>
    <w:rsid w:val="22E22D4A"/>
    <w:rsid w:val="22F66168"/>
    <w:rsid w:val="23143199"/>
    <w:rsid w:val="2316669C"/>
    <w:rsid w:val="23474C6D"/>
    <w:rsid w:val="237B3E42"/>
    <w:rsid w:val="24187544"/>
    <w:rsid w:val="242D74E9"/>
    <w:rsid w:val="24844675"/>
    <w:rsid w:val="24A713B1"/>
    <w:rsid w:val="25D40B1F"/>
    <w:rsid w:val="26862B41"/>
    <w:rsid w:val="27A12394"/>
    <w:rsid w:val="27CF1BDE"/>
    <w:rsid w:val="289D3530"/>
    <w:rsid w:val="293549A8"/>
    <w:rsid w:val="2955745C"/>
    <w:rsid w:val="299172C0"/>
    <w:rsid w:val="29AE4672"/>
    <w:rsid w:val="29B4657B"/>
    <w:rsid w:val="29C72C3A"/>
    <w:rsid w:val="29ED6E20"/>
    <w:rsid w:val="2A22332C"/>
    <w:rsid w:val="2AE2376A"/>
    <w:rsid w:val="2AEA2D75"/>
    <w:rsid w:val="2B085BA8"/>
    <w:rsid w:val="2B257CFA"/>
    <w:rsid w:val="2B505F9D"/>
    <w:rsid w:val="2BCF42EC"/>
    <w:rsid w:val="2CDA5AA3"/>
    <w:rsid w:val="2D0C237C"/>
    <w:rsid w:val="2D562E6F"/>
    <w:rsid w:val="2DA13D34"/>
    <w:rsid w:val="2E03680A"/>
    <w:rsid w:val="2E103922"/>
    <w:rsid w:val="2E1113A3"/>
    <w:rsid w:val="2E6049A6"/>
    <w:rsid w:val="2EFD22A6"/>
    <w:rsid w:val="2F4910A0"/>
    <w:rsid w:val="2F4F0A2B"/>
    <w:rsid w:val="2F922799"/>
    <w:rsid w:val="2FD0227E"/>
    <w:rsid w:val="2FEF2B33"/>
    <w:rsid w:val="2FF96CC5"/>
    <w:rsid w:val="301B13F8"/>
    <w:rsid w:val="302D4B96"/>
    <w:rsid w:val="30781792"/>
    <w:rsid w:val="30BE1F06"/>
    <w:rsid w:val="31075B7E"/>
    <w:rsid w:val="314B756C"/>
    <w:rsid w:val="31586882"/>
    <w:rsid w:val="32AB622F"/>
    <w:rsid w:val="3332520E"/>
    <w:rsid w:val="33691AE5"/>
    <w:rsid w:val="34630E03"/>
    <w:rsid w:val="34FE797D"/>
    <w:rsid w:val="35635123"/>
    <w:rsid w:val="359336F3"/>
    <w:rsid w:val="35A3178F"/>
    <w:rsid w:val="36460F99"/>
    <w:rsid w:val="3682337C"/>
    <w:rsid w:val="37624BE8"/>
    <w:rsid w:val="3778260F"/>
    <w:rsid w:val="37B52474"/>
    <w:rsid w:val="37C06287"/>
    <w:rsid w:val="38034772"/>
    <w:rsid w:val="380940FC"/>
    <w:rsid w:val="38203D22"/>
    <w:rsid w:val="382D55B6"/>
    <w:rsid w:val="387D5551"/>
    <w:rsid w:val="387F1B3D"/>
    <w:rsid w:val="391E61C3"/>
    <w:rsid w:val="39C34753"/>
    <w:rsid w:val="3AD65514"/>
    <w:rsid w:val="3ADD4E9F"/>
    <w:rsid w:val="3B985A17"/>
    <w:rsid w:val="3B9C785C"/>
    <w:rsid w:val="3BCC6D26"/>
    <w:rsid w:val="3C071109"/>
    <w:rsid w:val="3C321F4D"/>
    <w:rsid w:val="3C3663D5"/>
    <w:rsid w:val="3C934571"/>
    <w:rsid w:val="3DDA4888"/>
    <w:rsid w:val="3F14330B"/>
    <w:rsid w:val="3F16680E"/>
    <w:rsid w:val="3F3570C3"/>
    <w:rsid w:val="40DF167D"/>
    <w:rsid w:val="40FC53A9"/>
    <w:rsid w:val="413F7118"/>
    <w:rsid w:val="41595743"/>
    <w:rsid w:val="41955928"/>
    <w:rsid w:val="41CA4AFD"/>
    <w:rsid w:val="42263B92"/>
    <w:rsid w:val="4252756B"/>
    <w:rsid w:val="426E308D"/>
    <w:rsid w:val="42CE0B28"/>
    <w:rsid w:val="42D739B6"/>
    <w:rsid w:val="43043580"/>
    <w:rsid w:val="43367252"/>
    <w:rsid w:val="43842BD5"/>
    <w:rsid w:val="43847352"/>
    <w:rsid w:val="439B6F77"/>
    <w:rsid w:val="44235BD6"/>
    <w:rsid w:val="442510D9"/>
    <w:rsid w:val="44380974"/>
    <w:rsid w:val="445960B0"/>
    <w:rsid w:val="451B616E"/>
    <w:rsid w:val="454318B1"/>
    <w:rsid w:val="45B04463"/>
    <w:rsid w:val="45E35BB7"/>
    <w:rsid w:val="460460EC"/>
    <w:rsid w:val="468808C3"/>
    <w:rsid w:val="46901553"/>
    <w:rsid w:val="46B42A0C"/>
    <w:rsid w:val="46C23027"/>
    <w:rsid w:val="480D1D44"/>
    <w:rsid w:val="482A5A71"/>
    <w:rsid w:val="483B158F"/>
    <w:rsid w:val="49B83F7E"/>
    <w:rsid w:val="4A1D4FA7"/>
    <w:rsid w:val="4A267E35"/>
    <w:rsid w:val="4A4C2273"/>
    <w:rsid w:val="4A70372C"/>
    <w:rsid w:val="4AD978D9"/>
    <w:rsid w:val="4BC61AE0"/>
    <w:rsid w:val="4C1C11EA"/>
    <w:rsid w:val="4C58104F"/>
    <w:rsid w:val="4C8E5CA5"/>
    <w:rsid w:val="4D4611D5"/>
    <w:rsid w:val="4DB53509"/>
    <w:rsid w:val="4E1061A1"/>
    <w:rsid w:val="4E2A627A"/>
    <w:rsid w:val="4E676BB0"/>
    <w:rsid w:val="4E901F73"/>
    <w:rsid w:val="4F88250B"/>
    <w:rsid w:val="4F8F1E96"/>
    <w:rsid w:val="50116BEC"/>
    <w:rsid w:val="501442ED"/>
    <w:rsid w:val="50203983"/>
    <w:rsid w:val="504273BB"/>
    <w:rsid w:val="50750E8F"/>
    <w:rsid w:val="51357C48"/>
    <w:rsid w:val="52AA302D"/>
    <w:rsid w:val="52E15705"/>
    <w:rsid w:val="52FA40B1"/>
    <w:rsid w:val="531526DC"/>
    <w:rsid w:val="53C93484"/>
    <w:rsid w:val="540248E3"/>
    <w:rsid w:val="54BD5016"/>
    <w:rsid w:val="54C67EA4"/>
    <w:rsid w:val="54F05465"/>
    <w:rsid w:val="55257EBD"/>
    <w:rsid w:val="554177EE"/>
    <w:rsid w:val="55A15289"/>
    <w:rsid w:val="567468E6"/>
    <w:rsid w:val="57B74973"/>
    <w:rsid w:val="58A46B7A"/>
    <w:rsid w:val="58D95D50"/>
    <w:rsid w:val="593C3876"/>
    <w:rsid w:val="597D42DF"/>
    <w:rsid w:val="59870472"/>
    <w:rsid w:val="59967408"/>
    <w:rsid w:val="59B469B8"/>
    <w:rsid w:val="59D91176"/>
    <w:rsid w:val="5A53303E"/>
    <w:rsid w:val="5AD05E8B"/>
    <w:rsid w:val="5AD73617"/>
    <w:rsid w:val="5AE503AE"/>
    <w:rsid w:val="5B8524B6"/>
    <w:rsid w:val="5BCB73A7"/>
    <w:rsid w:val="5BDB5443"/>
    <w:rsid w:val="5C7133B8"/>
    <w:rsid w:val="5C7D4C4C"/>
    <w:rsid w:val="5CAD799A"/>
    <w:rsid w:val="5CEA3F7C"/>
    <w:rsid w:val="5D0900B4"/>
    <w:rsid w:val="5D2F4A70"/>
    <w:rsid w:val="5D525F29"/>
    <w:rsid w:val="5D73645E"/>
    <w:rsid w:val="5D7F7CF2"/>
    <w:rsid w:val="5E1E68F7"/>
    <w:rsid w:val="5E363F9E"/>
    <w:rsid w:val="5E7F7895"/>
    <w:rsid w:val="5E803118"/>
    <w:rsid w:val="5ECF671B"/>
    <w:rsid w:val="5F065A06"/>
    <w:rsid w:val="5F390348"/>
    <w:rsid w:val="5F9D47EA"/>
    <w:rsid w:val="5FAB1581"/>
    <w:rsid w:val="5FC16FA8"/>
    <w:rsid w:val="5FFA4B83"/>
    <w:rsid w:val="60A73DA2"/>
    <w:rsid w:val="60BD5F46"/>
    <w:rsid w:val="60CB745A"/>
    <w:rsid w:val="61250DED"/>
    <w:rsid w:val="61466DA4"/>
    <w:rsid w:val="618860A1"/>
    <w:rsid w:val="61DE601D"/>
    <w:rsid w:val="61F24CBE"/>
    <w:rsid w:val="62173BF9"/>
    <w:rsid w:val="62DE1443"/>
    <w:rsid w:val="632905BE"/>
    <w:rsid w:val="63EB287A"/>
    <w:rsid w:val="642C6B67"/>
    <w:rsid w:val="644D709C"/>
    <w:rsid w:val="645A0930"/>
    <w:rsid w:val="64BD2BD3"/>
    <w:rsid w:val="65CE1B16"/>
    <w:rsid w:val="66803B38"/>
    <w:rsid w:val="670C6F9F"/>
    <w:rsid w:val="67DB2AF0"/>
    <w:rsid w:val="67F87EA2"/>
    <w:rsid w:val="689F3B33"/>
    <w:rsid w:val="68CE4682"/>
    <w:rsid w:val="68FD194E"/>
    <w:rsid w:val="69200C83"/>
    <w:rsid w:val="695D51EA"/>
    <w:rsid w:val="6A0F2A90"/>
    <w:rsid w:val="6A7B433D"/>
    <w:rsid w:val="6B5A17AD"/>
    <w:rsid w:val="6B917708"/>
    <w:rsid w:val="6BEB604C"/>
    <w:rsid w:val="6BF5162B"/>
    <w:rsid w:val="6BFB1336"/>
    <w:rsid w:val="6CD27D15"/>
    <w:rsid w:val="6D07276D"/>
    <w:rsid w:val="6D1E2392"/>
    <w:rsid w:val="6DC53E25"/>
    <w:rsid w:val="6DE02450"/>
    <w:rsid w:val="6E270646"/>
    <w:rsid w:val="6E9D6087"/>
    <w:rsid w:val="6ECC3352"/>
    <w:rsid w:val="6F555835"/>
    <w:rsid w:val="6FB410D2"/>
    <w:rsid w:val="702C5898"/>
    <w:rsid w:val="70352925"/>
    <w:rsid w:val="70670B75"/>
    <w:rsid w:val="70C4348D"/>
    <w:rsid w:val="70CB089A"/>
    <w:rsid w:val="71876A4E"/>
    <w:rsid w:val="71B82AA1"/>
    <w:rsid w:val="71F1067C"/>
    <w:rsid w:val="72033E1A"/>
    <w:rsid w:val="72752E54"/>
    <w:rsid w:val="75BB3F35"/>
    <w:rsid w:val="75CC7A53"/>
    <w:rsid w:val="75F00F0C"/>
    <w:rsid w:val="76147E47"/>
    <w:rsid w:val="762F6473"/>
    <w:rsid w:val="76392605"/>
    <w:rsid w:val="769A5B22"/>
    <w:rsid w:val="76A22F2E"/>
    <w:rsid w:val="76C159E1"/>
    <w:rsid w:val="76CE2AF9"/>
    <w:rsid w:val="76FD3648"/>
    <w:rsid w:val="76FD7DC5"/>
    <w:rsid w:val="77A572D9"/>
    <w:rsid w:val="788778CC"/>
    <w:rsid w:val="78A13CF9"/>
    <w:rsid w:val="795821A2"/>
    <w:rsid w:val="796727BD"/>
    <w:rsid w:val="79AD76AE"/>
    <w:rsid w:val="79D54FEF"/>
    <w:rsid w:val="7A7D4503"/>
    <w:rsid w:val="7A843E8E"/>
    <w:rsid w:val="7A8A3819"/>
    <w:rsid w:val="7AC8587C"/>
    <w:rsid w:val="7AD52994"/>
    <w:rsid w:val="7B081EE9"/>
    <w:rsid w:val="7B234C91"/>
    <w:rsid w:val="7B5D73F5"/>
    <w:rsid w:val="7BE56054"/>
    <w:rsid w:val="7CC75342"/>
    <w:rsid w:val="7CF911E7"/>
    <w:rsid w:val="7D217FDA"/>
    <w:rsid w:val="7D240F5F"/>
    <w:rsid w:val="7E342E45"/>
    <w:rsid w:val="7FD604C8"/>
    <w:rsid w:val="7FDD7E53"/>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3"/>
    <w:unhideWhenUsed/>
    <w:qFormat/>
    <w:uiPriority w:val="99"/>
    <w:rPr>
      <w:b/>
      <w:bCs/>
    </w:rPr>
  </w:style>
  <w:style w:type="paragraph" w:styleId="3">
    <w:name w:val="annotation text"/>
    <w:basedOn w:val="1"/>
    <w:link w:val="12"/>
    <w:unhideWhenUsed/>
    <w:qFormat/>
    <w:uiPriority w:val="99"/>
    <w:pPr>
      <w:jc w:val="left"/>
    </w:pPr>
  </w:style>
  <w:style w:type="paragraph" w:styleId="4">
    <w:name w:val="Balloon Text"/>
    <w:basedOn w:val="1"/>
    <w:link w:val="14"/>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unhideWhenUsed/>
    <w:qFormat/>
    <w:uiPriority w:val="99"/>
    <w:rPr>
      <w:sz w:val="21"/>
      <w:szCs w:val="21"/>
    </w:rPr>
  </w:style>
  <w:style w:type="character" w:customStyle="1" w:styleId="10">
    <w:name w:val="页眉 Char"/>
    <w:basedOn w:val="7"/>
    <w:link w:val="6"/>
    <w:qFormat/>
    <w:uiPriority w:val="99"/>
    <w:rPr>
      <w:sz w:val="18"/>
      <w:szCs w:val="18"/>
    </w:rPr>
  </w:style>
  <w:style w:type="character" w:customStyle="1" w:styleId="11">
    <w:name w:val="页脚 Char"/>
    <w:basedOn w:val="7"/>
    <w:link w:val="5"/>
    <w:qFormat/>
    <w:uiPriority w:val="99"/>
    <w:rPr>
      <w:sz w:val="18"/>
      <w:szCs w:val="18"/>
    </w:rPr>
  </w:style>
  <w:style w:type="character" w:customStyle="1" w:styleId="12">
    <w:name w:val="批注文字 Char"/>
    <w:basedOn w:val="7"/>
    <w:link w:val="3"/>
    <w:qFormat/>
    <w:uiPriority w:val="99"/>
  </w:style>
  <w:style w:type="character" w:customStyle="1" w:styleId="13">
    <w:name w:val="批注主题 Char"/>
    <w:basedOn w:val="12"/>
    <w:link w:val="2"/>
    <w:semiHidden/>
    <w:qFormat/>
    <w:uiPriority w:val="99"/>
    <w:rPr>
      <w:b/>
      <w:bCs/>
    </w:rPr>
  </w:style>
  <w:style w:type="character" w:customStyle="1" w:styleId="14">
    <w:name w:val="批注框文本 Char"/>
    <w:basedOn w:val="7"/>
    <w:link w:val="4"/>
    <w:semiHidden/>
    <w:qFormat/>
    <w:uiPriority w:val="99"/>
    <w:rPr>
      <w:sz w:val="18"/>
      <w:szCs w:val="18"/>
    </w:rPr>
  </w:style>
  <w:style w:type="paragraph" w:customStyle="1" w:styleId="15">
    <w:name w:val="列出段落1"/>
    <w:basedOn w:val="1"/>
    <w:qFormat/>
    <w:uiPriority w:val="34"/>
    <w:pPr>
      <w:ind w:firstLine="420" w:firstLineChars="200"/>
    </w:pPr>
  </w:style>
  <w:style w:type="paragraph" w:customStyle="1" w:styleId="16">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7">
    <w:name w:val="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8">
    <w:name w:val="修订2"/>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17</Pages>
  <Words>1123</Words>
  <Characters>6402</Characters>
  <Lines>53</Lines>
  <Paragraphs>15</Paragraphs>
  <ScaleCrop>false</ScaleCrop>
  <LinksUpToDate>false</LinksUpToDate>
  <CharactersWithSpaces>7510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2015-12-30T14:12:00Z</dcterms:created>
  <dc:creator>张杰</dc:creator>
  <cp:lastModifiedBy>刘胜飞</cp:lastModifiedBy>
  <cp:lastPrinted>2015-12-01T03:10:00Z</cp:lastPrinted>
  <dcterms:modified xsi:type="dcterms:W3CDTF">2016-01-18T02:42:27Z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