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E8" w:rsidRPr="00EF63E8" w:rsidRDefault="00EF63E8" w:rsidP="00EF63E8">
      <w:pPr>
        <w:rPr>
          <w:rFonts w:ascii="黑体" w:eastAsia="黑体" w:hAnsi="Times New Roman" w:cs="Times New Roman"/>
          <w:sz w:val="24"/>
          <w:szCs w:val="24"/>
        </w:rPr>
      </w:pPr>
      <w:r w:rsidRPr="00EF63E8">
        <w:rPr>
          <w:rFonts w:ascii="黑体" w:eastAsia="黑体" w:hAnsi="Times New Roman" w:cs="Times New Roman" w:hint="eastAsia"/>
          <w:b/>
          <w:bCs/>
          <w:sz w:val="24"/>
          <w:szCs w:val="24"/>
        </w:rPr>
        <w:t>附表2</w:t>
      </w:r>
    </w:p>
    <w:p w:rsidR="00EF63E8" w:rsidRPr="00EF63E8" w:rsidRDefault="00EF63E8" w:rsidP="00EF63E8">
      <w:pPr>
        <w:widowControl/>
        <w:spacing w:after="312" w:line="720" w:lineRule="auto"/>
        <w:jc w:val="center"/>
        <w:rPr>
          <w:rFonts w:ascii="宋体" w:eastAsia="宋体" w:hAnsi="宋体" w:cs="Times New Roman" w:hint="eastAsia"/>
          <w:b/>
          <w:bCs/>
          <w:sz w:val="24"/>
          <w:szCs w:val="24"/>
        </w:rPr>
      </w:pPr>
      <w:bookmarkStart w:id="0" w:name="_GoBack"/>
      <w:r w:rsidRPr="00EF63E8">
        <w:rPr>
          <w:rFonts w:ascii="宋体" w:eastAsia="宋体" w:hAnsi="宋体" w:cs="Times New Roman" w:hint="eastAsia"/>
          <w:b/>
          <w:bCs/>
          <w:sz w:val="24"/>
          <w:szCs w:val="24"/>
        </w:rPr>
        <w:t>执业质量减分标准</w:t>
      </w:r>
    </w:p>
    <w:tbl>
      <w:tblPr>
        <w:tblW w:w="8906" w:type="dxa"/>
        <w:jc w:val="center"/>
        <w:tblLayout w:type="fixed"/>
        <w:tblLook w:val="04A0" w:firstRow="1" w:lastRow="0" w:firstColumn="1" w:lastColumn="0" w:noHBand="0" w:noVBand="1"/>
      </w:tblPr>
      <w:tblGrid>
        <w:gridCol w:w="857"/>
        <w:gridCol w:w="2576"/>
        <w:gridCol w:w="1134"/>
        <w:gridCol w:w="1134"/>
        <w:gridCol w:w="1134"/>
        <w:gridCol w:w="1134"/>
        <w:gridCol w:w="937"/>
      </w:tblGrid>
      <w:tr w:rsidR="00EF63E8" w:rsidRPr="00EF63E8" w:rsidTr="00EF63E8">
        <w:trPr>
          <w:jc w:val="center"/>
        </w:trPr>
        <w:tc>
          <w:tcPr>
            <w:tcW w:w="857" w:type="dxa"/>
            <w:vMerge w:val="restart"/>
            <w:tcBorders>
              <w:top w:val="single" w:sz="4" w:space="0" w:color="auto"/>
              <w:left w:val="single" w:sz="4" w:space="0" w:color="auto"/>
              <w:bottom w:val="single" w:sz="4" w:space="0" w:color="auto"/>
              <w:right w:val="single" w:sz="4" w:space="0" w:color="auto"/>
            </w:tcBorders>
            <w:vAlign w:val="center"/>
            <w:hideMark/>
          </w:tcPr>
          <w:bookmarkEnd w:id="0"/>
          <w:p w:rsidR="00EF63E8" w:rsidRPr="00EF63E8" w:rsidRDefault="00EF63E8" w:rsidP="00EF63E8">
            <w:pPr>
              <w:jc w:val="center"/>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类</w:t>
            </w:r>
          </w:p>
          <w:p w:rsidR="00EF63E8" w:rsidRPr="00EF63E8" w:rsidRDefault="00EF63E8" w:rsidP="00EF63E8">
            <w:pPr>
              <w:jc w:val="center"/>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别</w:t>
            </w:r>
          </w:p>
        </w:tc>
        <w:tc>
          <w:tcPr>
            <w:tcW w:w="2576" w:type="dxa"/>
            <w:vMerge w:val="restart"/>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项目</w:t>
            </w:r>
          </w:p>
        </w:tc>
        <w:tc>
          <w:tcPr>
            <w:tcW w:w="5473" w:type="dxa"/>
            <w:gridSpan w:val="5"/>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受处罚或惩戒的年度及对应减分值</w:t>
            </w:r>
          </w:p>
        </w:tc>
      </w:tr>
      <w:tr w:rsidR="00EF63E8" w:rsidRPr="00EF63E8" w:rsidTr="00EF63E8">
        <w:trPr>
          <w:jc w:val="center"/>
        </w:trPr>
        <w:tc>
          <w:tcPr>
            <w:tcW w:w="857" w:type="dxa"/>
            <w:vMerge/>
            <w:tcBorders>
              <w:top w:val="single" w:sz="4" w:space="0" w:color="auto"/>
              <w:left w:val="single" w:sz="4" w:space="0" w:color="auto"/>
              <w:bottom w:val="single" w:sz="4" w:space="0" w:color="auto"/>
              <w:right w:val="single" w:sz="4" w:space="0" w:color="auto"/>
            </w:tcBorders>
            <w:vAlign w:val="center"/>
            <w:hideMark/>
          </w:tcPr>
          <w:p w:rsidR="00EF63E8" w:rsidRPr="00EF63E8" w:rsidRDefault="00EF63E8" w:rsidP="00EF63E8">
            <w:pPr>
              <w:widowControl/>
              <w:jc w:val="left"/>
              <w:rPr>
                <w:rFonts w:ascii="仿宋_GB2312" w:eastAsia="仿宋_GB2312" w:hAnsi="Times New Roman" w:cs="Times New Roman"/>
                <w:sz w:val="24"/>
                <w:szCs w:val="24"/>
              </w:rPr>
            </w:pPr>
          </w:p>
        </w:tc>
        <w:tc>
          <w:tcPr>
            <w:tcW w:w="2576" w:type="dxa"/>
            <w:vMerge/>
            <w:tcBorders>
              <w:top w:val="single" w:sz="4" w:space="0" w:color="auto"/>
              <w:left w:val="nil"/>
              <w:bottom w:val="single" w:sz="4" w:space="0" w:color="auto"/>
              <w:right w:val="single" w:sz="4" w:space="0" w:color="auto"/>
            </w:tcBorders>
            <w:vAlign w:val="center"/>
            <w:hideMark/>
          </w:tcPr>
          <w:p w:rsidR="00EF63E8" w:rsidRPr="00EF63E8" w:rsidRDefault="00EF63E8" w:rsidP="00EF63E8">
            <w:pPr>
              <w:widowControl/>
              <w:jc w:val="left"/>
              <w:rPr>
                <w:rFonts w:ascii="仿宋_GB2312" w:eastAsia="仿宋_GB2312"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前4年</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前3年</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前2年</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前1年</w:t>
            </w:r>
          </w:p>
        </w:tc>
        <w:tc>
          <w:tcPr>
            <w:tcW w:w="937" w:type="dxa"/>
            <w:tcBorders>
              <w:top w:val="single" w:sz="4" w:space="0" w:color="auto"/>
              <w:left w:val="nil"/>
              <w:bottom w:val="single" w:sz="4" w:space="0" w:color="auto"/>
              <w:right w:val="single" w:sz="4" w:space="0" w:color="auto"/>
            </w:tcBorders>
            <w:vAlign w:val="center"/>
            <w:hideMark/>
          </w:tcPr>
          <w:p w:rsidR="00EF63E8" w:rsidRDefault="00EF63E8" w:rsidP="00EF63E8">
            <w:pPr>
              <w:jc w:val="center"/>
              <w:rPr>
                <w:rFonts w:ascii="仿宋_GB2312" w:eastAsia="仿宋_GB2312" w:hAnsi="Times New Roman" w:cs="Times New Roman" w:hint="eastAsia"/>
                <w:sz w:val="24"/>
                <w:szCs w:val="24"/>
              </w:rPr>
            </w:pPr>
            <w:r w:rsidRPr="00EF63E8">
              <w:rPr>
                <w:rFonts w:ascii="仿宋_GB2312" w:eastAsia="仿宋_GB2312" w:hAnsi="Times New Roman" w:cs="Times New Roman" w:hint="eastAsia"/>
                <w:sz w:val="24"/>
                <w:szCs w:val="24"/>
              </w:rPr>
              <w:t>评价</w:t>
            </w:r>
          </w:p>
          <w:p w:rsidR="00EF63E8" w:rsidRPr="00EF63E8" w:rsidRDefault="00EF63E8" w:rsidP="00EF63E8">
            <w:pPr>
              <w:jc w:val="center"/>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年度</w:t>
            </w:r>
          </w:p>
        </w:tc>
      </w:tr>
      <w:tr w:rsidR="00EF63E8" w:rsidRPr="00EF63E8" w:rsidTr="00EF63E8">
        <w:trPr>
          <w:jc w:val="center"/>
        </w:trPr>
        <w:tc>
          <w:tcPr>
            <w:tcW w:w="857" w:type="dxa"/>
            <w:vMerge w:val="restart"/>
            <w:tcBorders>
              <w:top w:val="nil"/>
              <w:left w:val="single" w:sz="4" w:space="0" w:color="auto"/>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行政处罚</w:t>
            </w:r>
          </w:p>
        </w:tc>
        <w:tc>
          <w:tcPr>
            <w:tcW w:w="2576"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left"/>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警告</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6</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10</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13</w:t>
            </w:r>
          </w:p>
        </w:tc>
        <w:tc>
          <w:tcPr>
            <w:tcW w:w="937"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16</w:t>
            </w:r>
          </w:p>
        </w:tc>
      </w:tr>
      <w:tr w:rsidR="00EF63E8" w:rsidRPr="00EF63E8" w:rsidTr="00EF63E8">
        <w:trPr>
          <w:jc w:val="center"/>
        </w:trPr>
        <w:tc>
          <w:tcPr>
            <w:tcW w:w="857" w:type="dxa"/>
            <w:vMerge/>
            <w:tcBorders>
              <w:top w:val="nil"/>
              <w:left w:val="single" w:sz="4" w:space="0" w:color="auto"/>
              <w:bottom w:val="single" w:sz="4" w:space="0" w:color="auto"/>
              <w:right w:val="single" w:sz="4" w:space="0" w:color="auto"/>
            </w:tcBorders>
            <w:vAlign w:val="center"/>
            <w:hideMark/>
          </w:tcPr>
          <w:p w:rsidR="00EF63E8" w:rsidRPr="00EF63E8" w:rsidRDefault="00EF63E8" w:rsidP="00EF63E8">
            <w:pPr>
              <w:widowControl/>
              <w:jc w:val="left"/>
              <w:rPr>
                <w:rFonts w:ascii="仿宋_GB2312" w:eastAsia="仿宋_GB2312" w:hAnsi="Times New Roman" w:cs="Times New Roman"/>
                <w:sz w:val="24"/>
                <w:szCs w:val="24"/>
              </w:rPr>
            </w:pPr>
          </w:p>
        </w:tc>
        <w:tc>
          <w:tcPr>
            <w:tcW w:w="2576"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left"/>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罚款</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4</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8</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12</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16</w:t>
            </w:r>
          </w:p>
        </w:tc>
        <w:tc>
          <w:tcPr>
            <w:tcW w:w="937"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20</w:t>
            </w:r>
          </w:p>
        </w:tc>
      </w:tr>
      <w:tr w:rsidR="00EF63E8" w:rsidRPr="00EF63E8" w:rsidTr="00EF63E8">
        <w:trPr>
          <w:jc w:val="center"/>
        </w:trPr>
        <w:tc>
          <w:tcPr>
            <w:tcW w:w="857" w:type="dxa"/>
            <w:vMerge/>
            <w:tcBorders>
              <w:top w:val="nil"/>
              <w:left w:val="single" w:sz="4" w:space="0" w:color="auto"/>
              <w:bottom w:val="single" w:sz="4" w:space="0" w:color="auto"/>
              <w:right w:val="single" w:sz="4" w:space="0" w:color="auto"/>
            </w:tcBorders>
            <w:vAlign w:val="center"/>
            <w:hideMark/>
          </w:tcPr>
          <w:p w:rsidR="00EF63E8" w:rsidRPr="00EF63E8" w:rsidRDefault="00EF63E8" w:rsidP="00EF63E8">
            <w:pPr>
              <w:widowControl/>
              <w:jc w:val="left"/>
              <w:rPr>
                <w:rFonts w:ascii="仿宋_GB2312" w:eastAsia="仿宋_GB2312" w:hAnsi="Times New Roman" w:cs="Times New Roman"/>
                <w:sz w:val="24"/>
                <w:szCs w:val="24"/>
              </w:rPr>
            </w:pPr>
          </w:p>
        </w:tc>
        <w:tc>
          <w:tcPr>
            <w:tcW w:w="2576"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left"/>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没收非法所得</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6</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12</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18</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24</w:t>
            </w:r>
          </w:p>
        </w:tc>
        <w:tc>
          <w:tcPr>
            <w:tcW w:w="937"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30</w:t>
            </w:r>
          </w:p>
        </w:tc>
      </w:tr>
      <w:tr w:rsidR="00EF63E8" w:rsidRPr="00EF63E8" w:rsidTr="00EF63E8">
        <w:trPr>
          <w:jc w:val="center"/>
        </w:trPr>
        <w:tc>
          <w:tcPr>
            <w:tcW w:w="857" w:type="dxa"/>
            <w:vMerge/>
            <w:tcBorders>
              <w:top w:val="nil"/>
              <w:left w:val="single" w:sz="4" w:space="0" w:color="auto"/>
              <w:bottom w:val="single" w:sz="4" w:space="0" w:color="auto"/>
              <w:right w:val="single" w:sz="4" w:space="0" w:color="auto"/>
            </w:tcBorders>
            <w:vAlign w:val="center"/>
            <w:hideMark/>
          </w:tcPr>
          <w:p w:rsidR="00EF63E8" w:rsidRPr="00EF63E8" w:rsidRDefault="00EF63E8" w:rsidP="00EF63E8">
            <w:pPr>
              <w:widowControl/>
              <w:jc w:val="left"/>
              <w:rPr>
                <w:rFonts w:ascii="仿宋_GB2312" w:eastAsia="仿宋_GB2312" w:hAnsi="Times New Roman" w:cs="Times New Roman"/>
                <w:sz w:val="24"/>
                <w:szCs w:val="24"/>
              </w:rPr>
            </w:pPr>
          </w:p>
        </w:tc>
        <w:tc>
          <w:tcPr>
            <w:tcW w:w="2576"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left"/>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暂停执业</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8</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16</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24</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32</w:t>
            </w:r>
          </w:p>
        </w:tc>
        <w:tc>
          <w:tcPr>
            <w:tcW w:w="937"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40</w:t>
            </w:r>
          </w:p>
        </w:tc>
      </w:tr>
      <w:tr w:rsidR="00EF63E8" w:rsidRPr="00EF63E8" w:rsidTr="00EF63E8">
        <w:trPr>
          <w:trHeight w:val="267"/>
          <w:jc w:val="center"/>
        </w:trPr>
        <w:tc>
          <w:tcPr>
            <w:tcW w:w="857" w:type="dxa"/>
            <w:vMerge w:val="restart"/>
            <w:tcBorders>
              <w:top w:val="nil"/>
              <w:left w:val="single" w:sz="4" w:space="0" w:color="auto"/>
              <w:bottom w:val="single" w:sz="4" w:space="0" w:color="auto"/>
              <w:right w:val="single" w:sz="4" w:space="0" w:color="auto"/>
            </w:tcBorders>
            <w:vAlign w:val="center"/>
            <w:hideMark/>
          </w:tcPr>
          <w:p w:rsidR="00EF63E8" w:rsidRPr="00EF63E8" w:rsidRDefault="00EF63E8" w:rsidP="00EF63E8">
            <w:pPr>
              <w:spacing w:line="267" w:lineRule="atLeast"/>
              <w:jc w:val="center"/>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自律惩戒</w:t>
            </w:r>
          </w:p>
        </w:tc>
        <w:tc>
          <w:tcPr>
            <w:tcW w:w="2576"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spacing w:line="267" w:lineRule="atLeast"/>
              <w:jc w:val="left"/>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警告</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spacing w:line="267" w:lineRule="atLeast"/>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2</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spacing w:line="267" w:lineRule="atLeast"/>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spacing w:line="267" w:lineRule="atLeast"/>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5</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spacing w:line="267" w:lineRule="atLeast"/>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6</w:t>
            </w:r>
          </w:p>
        </w:tc>
        <w:tc>
          <w:tcPr>
            <w:tcW w:w="937"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spacing w:line="267" w:lineRule="atLeast"/>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8</w:t>
            </w:r>
          </w:p>
        </w:tc>
      </w:tr>
      <w:tr w:rsidR="00EF63E8" w:rsidRPr="00EF63E8" w:rsidTr="00EF63E8">
        <w:trPr>
          <w:jc w:val="center"/>
        </w:trPr>
        <w:tc>
          <w:tcPr>
            <w:tcW w:w="857" w:type="dxa"/>
            <w:vMerge/>
            <w:tcBorders>
              <w:top w:val="nil"/>
              <w:left w:val="single" w:sz="4" w:space="0" w:color="auto"/>
              <w:bottom w:val="single" w:sz="4" w:space="0" w:color="auto"/>
              <w:right w:val="single" w:sz="4" w:space="0" w:color="auto"/>
            </w:tcBorders>
            <w:vAlign w:val="center"/>
            <w:hideMark/>
          </w:tcPr>
          <w:p w:rsidR="00EF63E8" w:rsidRPr="00EF63E8" w:rsidRDefault="00EF63E8" w:rsidP="00EF63E8">
            <w:pPr>
              <w:widowControl/>
              <w:jc w:val="left"/>
              <w:rPr>
                <w:rFonts w:ascii="仿宋_GB2312" w:eastAsia="仿宋_GB2312" w:hAnsi="Times New Roman" w:cs="Times New Roman"/>
                <w:sz w:val="24"/>
                <w:szCs w:val="24"/>
              </w:rPr>
            </w:pPr>
          </w:p>
        </w:tc>
        <w:tc>
          <w:tcPr>
            <w:tcW w:w="2576"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left"/>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限期整改</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2</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5</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7</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10</w:t>
            </w:r>
          </w:p>
        </w:tc>
        <w:tc>
          <w:tcPr>
            <w:tcW w:w="937"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12</w:t>
            </w:r>
          </w:p>
        </w:tc>
      </w:tr>
      <w:tr w:rsidR="00EF63E8" w:rsidRPr="00EF63E8" w:rsidTr="00EF63E8">
        <w:trPr>
          <w:jc w:val="center"/>
        </w:trPr>
        <w:tc>
          <w:tcPr>
            <w:tcW w:w="857" w:type="dxa"/>
            <w:vMerge/>
            <w:tcBorders>
              <w:top w:val="nil"/>
              <w:left w:val="single" w:sz="4" w:space="0" w:color="auto"/>
              <w:bottom w:val="single" w:sz="4" w:space="0" w:color="auto"/>
              <w:right w:val="single" w:sz="4" w:space="0" w:color="auto"/>
            </w:tcBorders>
            <w:vAlign w:val="center"/>
            <w:hideMark/>
          </w:tcPr>
          <w:p w:rsidR="00EF63E8" w:rsidRPr="00EF63E8" w:rsidRDefault="00EF63E8" w:rsidP="00EF63E8">
            <w:pPr>
              <w:widowControl/>
              <w:jc w:val="left"/>
              <w:rPr>
                <w:rFonts w:ascii="仿宋_GB2312" w:eastAsia="仿宋_GB2312" w:hAnsi="Times New Roman" w:cs="Times New Roman"/>
                <w:sz w:val="24"/>
                <w:szCs w:val="24"/>
              </w:rPr>
            </w:pPr>
          </w:p>
        </w:tc>
        <w:tc>
          <w:tcPr>
            <w:tcW w:w="2576"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left"/>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行业内通报批评</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4</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8</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12</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16</w:t>
            </w:r>
          </w:p>
        </w:tc>
        <w:tc>
          <w:tcPr>
            <w:tcW w:w="937"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20</w:t>
            </w:r>
          </w:p>
        </w:tc>
      </w:tr>
      <w:tr w:rsidR="00EF63E8" w:rsidRPr="00EF63E8" w:rsidTr="00EF63E8">
        <w:trPr>
          <w:trHeight w:val="360"/>
          <w:jc w:val="center"/>
        </w:trPr>
        <w:tc>
          <w:tcPr>
            <w:tcW w:w="857" w:type="dxa"/>
            <w:vMerge/>
            <w:tcBorders>
              <w:top w:val="nil"/>
              <w:left w:val="single" w:sz="4" w:space="0" w:color="auto"/>
              <w:bottom w:val="single" w:sz="4" w:space="0" w:color="auto"/>
              <w:right w:val="single" w:sz="4" w:space="0" w:color="auto"/>
            </w:tcBorders>
            <w:vAlign w:val="center"/>
            <w:hideMark/>
          </w:tcPr>
          <w:p w:rsidR="00EF63E8" w:rsidRPr="00EF63E8" w:rsidRDefault="00EF63E8" w:rsidP="00EF63E8">
            <w:pPr>
              <w:widowControl/>
              <w:jc w:val="left"/>
              <w:rPr>
                <w:rFonts w:ascii="仿宋_GB2312" w:eastAsia="仿宋_GB2312" w:hAnsi="Times New Roman" w:cs="Times New Roman"/>
                <w:sz w:val="24"/>
                <w:szCs w:val="24"/>
              </w:rPr>
            </w:pPr>
          </w:p>
        </w:tc>
        <w:tc>
          <w:tcPr>
            <w:tcW w:w="2576"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left"/>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公开谴责</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6</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12</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18</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24</w:t>
            </w:r>
          </w:p>
        </w:tc>
        <w:tc>
          <w:tcPr>
            <w:tcW w:w="937"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30</w:t>
            </w:r>
          </w:p>
        </w:tc>
      </w:tr>
      <w:tr w:rsidR="00EF63E8" w:rsidRPr="00EF63E8" w:rsidTr="00EF63E8">
        <w:trPr>
          <w:trHeight w:val="360"/>
          <w:jc w:val="center"/>
        </w:trPr>
        <w:tc>
          <w:tcPr>
            <w:tcW w:w="857" w:type="dxa"/>
            <w:vMerge/>
            <w:tcBorders>
              <w:top w:val="nil"/>
              <w:left w:val="single" w:sz="4" w:space="0" w:color="auto"/>
              <w:bottom w:val="single" w:sz="4" w:space="0" w:color="auto"/>
              <w:right w:val="single" w:sz="4" w:space="0" w:color="auto"/>
            </w:tcBorders>
            <w:vAlign w:val="center"/>
            <w:hideMark/>
          </w:tcPr>
          <w:p w:rsidR="00EF63E8" w:rsidRPr="00EF63E8" w:rsidRDefault="00EF63E8" w:rsidP="00EF63E8">
            <w:pPr>
              <w:widowControl/>
              <w:jc w:val="left"/>
              <w:rPr>
                <w:rFonts w:ascii="仿宋_GB2312" w:eastAsia="仿宋_GB2312" w:hAnsi="Times New Roman" w:cs="Times New Roman"/>
                <w:sz w:val="24"/>
                <w:szCs w:val="24"/>
              </w:rPr>
            </w:pPr>
          </w:p>
        </w:tc>
        <w:tc>
          <w:tcPr>
            <w:tcW w:w="2576"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left"/>
              <w:rPr>
                <w:rFonts w:ascii="仿宋_GB2312" w:eastAsia="仿宋_GB2312" w:hAnsi="Times New Roman" w:cs="Times New Roman"/>
                <w:sz w:val="24"/>
                <w:szCs w:val="24"/>
              </w:rPr>
            </w:pPr>
            <w:r w:rsidRPr="00EF63E8">
              <w:rPr>
                <w:rFonts w:ascii="仿宋_GB2312" w:eastAsia="仿宋_GB2312" w:hAnsi="Times New Roman" w:cs="Times New Roman" w:hint="eastAsia"/>
                <w:sz w:val="24"/>
                <w:szCs w:val="24"/>
              </w:rPr>
              <w:t>吊销资产评估师职业资格证书</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8</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16</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24</w:t>
            </w:r>
          </w:p>
        </w:tc>
        <w:tc>
          <w:tcPr>
            <w:tcW w:w="1134"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32</w:t>
            </w:r>
          </w:p>
        </w:tc>
        <w:tc>
          <w:tcPr>
            <w:tcW w:w="937" w:type="dxa"/>
            <w:tcBorders>
              <w:top w:val="single" w:sz="4" w:space="0" w:color="auto"/>
              <w:left w:val="nil"/>
              <w:bottom w:val="single" w:sz="4" w:space="0" w:color="auto"/>
              <w:right w:val="single" w:sz="4" w:space="0" w:color="auto"/>
            </w:tcBorders>
            <w:vAlign w:val="center"/>
            <w:hideMark/>
          </w:tcPr>
          <w:p w:rsidR="00EF63E8" w:rsidRPr="00EF63E8" w:rsidRDefault="00EF63E8" w:rsidP="00EF63E8">
            <w:pPr>
              <w:jc w:val="center"/>
              <w:rPr>
                <w:rFonts w:ascii="仿宋_GB2312" w:eastAsia="仿宋_GB2312" w:hAnsi="Times New Roman" w:cs="Times New Roman"/>
                <w:color w:val="000000"/>
                <w:sz w:val="24"/>
                <w:szCs w:val="24"/>
              </w:rPr>
            </w:pPr>
            <w:r w:rsidRPr="00EF63E8">
              <w:rPr>
                <w:rFonts w:ascii="仿宋_GB2312" w:eastAsia="仿宋_GB2312" w:hAnsi="Times New Roman" w:cs="Times New Roman" w:hint="eastAsia"/>
                <w:color w:val="000000"/>
                <w:sz w:val="24"/>
                <w:szCs w:val="24"/>
              </w:rPr>
              <w:t>40</w:t>
            </w:r>
          </w:p>
        </w:tc>
      </w:tr>
    </w:tbl>
    <w:p w:rsidR="00EF63E8" w:rsidRPr="00EF63E8" w:rsidRDefault="00EF63E8" w:rsidP="00EF63E8">
      <w:pPr>
        <w:jc w:val="left"/>
        <w:rPr>
          <w:rFonts w:ascii="Times New Roman" w:eastAsia="仿宋_GB2312" w:hAnsi="Times New Roman" w:cs="Times New Roman" w:hint="eastAsia"/>
          <w:sz w:val="24"/>
          <w:szCs w:val="24"/>
        </w:rPr>
      </w:pPr>
      <w:r w:rsidRPr="00EF63E8">
        <w:rPr>
          <w:rFonts w:ascii="Times New Roman" w:eastAsia="仿宋_GB2312" w:hAnsi="Times New Roman" w:cs="Times New Roman"/>
          <w:sz w:val="24"/>
          <w:szCs w:val="24"/>
        </w:rPr>
        <w:t>注：资产评估师在以前年度所受处罚应扣减的分值计入其基准日所在评估机构。</w:t>
      </w:r>
    </w:p>
    <w:p w:rsidR="00EF63E8" w:rsidRPr="00EF63E8" w:rsidRDefault="00EF63E8" w:rsidP="00EF63E8">
      <w:pPr>
        <w:widowControl/>
        <w:jc w:val="left"/>
        <w:rPr>
          <w:rFonts w:ascii="Times New Roman" w:eastAsia="宋体" w:hAnsi="Times New Roman" w:cs="Times New Roman"/>
          <w:sz w:val="24"/>
          <w:szCs w:val="24"/>
        </w:rPr>
      </w:pPr>
      <w:r w:rsidRPr="00EF63E8">
        <w:rPr>
          <w:rFonts w:ascii="Times New Roman" w:eastAsia="宋体" w:hAnsi="Times New Roman" w:cs="Times New Roman"/>
          <w:sz w:val="24"/>
          <w:szCs w:val="24"/>
        </w:rPr>
        <w:t xml:space="preserve"> </w:t>
      </w:r>
    </w:p>
    <w:p w:rsidR="00D5688D" w:rsidRPr="00EF63E8" w:rsidRDefault="00D5688D">
      <w:pPr>
        <w:rPr>
          <w:sz w:val="24"/>
          <w:szCs w:val="24"/>
        </w:rPr>
      </w:pPr>
    </w:p>
    <w:sectPr w:rsidR="00D5688D" w:rsidRPr="00EF63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E8"/>
    <w:rsid w:val="00D5688D"/>
    <w:rsid w:val="00EF6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253</Characters>
  <Application>Microsoft Office Word</Application>
  <DocSecurity>0</DocSecurity>
  <Lines>2</Lines>
  <Paragraphs>1</Paragraphs>
  <ScaleCrop>false</ScaleCrop>
  <Company>Lenovo (Beijing) Limited</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张杰</dc:creator>
  <cp:keywords/>
  <dc:description/>
  <cp:lastModifiedBy>张杰</cp:lastModifiedBy>
  <cp:revision>1</cp:revision>
  <dcterms:created xsi:type="dcterms:W3CDTF">2016-02-04T02:53:00Z</dcterms:created>
  <dcterms:modified xsi:type="dcterms:W3CDTF">2016-02-04T02:55:00Z</dcterms:modified>
</cp:coreProperties>
</file>